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CB" w:rsidRDefault="00BA66CB" w:rsidP="00BA66CB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  <w:lang w:val="sr-Cyrl-RS"/>
        </w:rPr>
      </w:pPr>
    </w:p>
    <w:p w:rsidR="00BA66CB" w:rsidRPr="00D453F8" w:rsidRDefault="00BA66CB" w:rsidP="00BA66CB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 w:rsidRPr="00D453F8">
        <w:rPr>
          <w:rFonts w:ascii="Arial" w:hAnsi="Arial" w:cs="Arial"/>
          <w:b/>
          <w:sz w:val="28"/>
          <w:szCs w:val="28"/>
          <w:lang w:val="ru-RU"/>
        </w:rPr>
        <w:t>РЕПУБЛИКА СРБИЈА</w:t>
      </w:r>
    </w:p>
    <w:p w:rsidR="00BA66CB" w:rsidRPr="00D453F8" w:rsidRDefault="00BA66CB" w:rsidP="00BA66CB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 w:rsidRPr="00D453F8">
        <w:rPr>
          <w:rFonts w:ascii="Arial" w:hAnsi="Arial" w:cs="Arial"/>
          <w:b/>
          <w:sz w:val="28"/>
          <w:szCs w:val="28"/>
          <w:lang w:val="ru-RU"/>
        </w:rPr>
        <w:t>НАРОДНА СКУПШТИНА</w:t>
      </w:r>
    </w:p>
    <w:p w:rsidR="00BA66CB" w:rsidRPr="009C2A77" w:rsidRDefault="009C2A77" w:rsidP="00BA66CB">
      <w:pPr>
        <w:pStyle w:val="align-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БИБЛИОТЕКА НАРОДНЕ СКУПШТИНЕ</w:t>
      </w:r>
    </w:p>
    <w:p w:rsidR="00BA66CB" w:rsidRPr="00D453F8" w:rsidRDefault="00BA66CB" w:rsidP="00BA66CB">
      <w:pPr>
        <w:tabs>
          <w:tab w:val="left" w:pos="567"/>
        </w:tabs>
        <w:rPr>
          <w:b/>
          <w:lang w:val="ru-RU"/>
        </w:rPr>
      </w:pPr>
    </w:p>
    <w:p w:rsidR="00BA66CB" w:rsidRPr="00D453F8" w:rsidRDefault="00BA66CB" w:rsidP="00BA66CB">
      <w:pPr>
        <w:tabs>
          <w:tab w:val="left" w:pos="567"/>
        </w:tabs>
        <w:rPr>
          <w:lang w:val="ru-RU"/>
        </w:rPr>
      </w:pPr>
    </w:p>
    <w:p w:rsidR="00BA66CB" w:rsidRPr="00111876" w:rsidRDefault="00BA66CB" w:rsidP="00BA66CB">
      <w:pPr>
        <w:tabs>
          <w:tab w:val="left" w:pos="567"/>
        </w:tabs>
        <w:rPr>
          <w:lang w:val="ru-RU"/>
        </w:rPr>
      </w:pPr>
    </w:p>
    <w:p w:rsidR="00BA66CB" w:rsidRPr="00111876" w:rsidRDefault="00BA66CB" w:rsidP="00BA66CB">
      <w:pPr>
        <w:tabs>
          <w:tab w:val="left" w:pos="567"/>
        </w:tabs>
        <w:rPr>
          <w:lang w:val="ru-RU"/>
        </w:rPr>
      </w:pPr>
    </w:p>
    <w:p w:rsidR="00BA66CB" w:rsidRPr="00111876" w:rsidRDefault="00BA66CB" w:rsidP="00BA66CB">
      <w:pPr>
        <w:tabs>
          <w:tab w:val="left" w:pos="567"/>
        </w:tabs>
        <w:rPr>
          <w:lang w:val="ru-RU"/>
        </w:rPr>
      </w:pPr>
    </w:p>
    <w:p w:rsidR="00BA66CB" w:rsidRPr="00111876" w:rsidRDefault="00BA66CB" w:rsidP="00BA66CB">
      <w:pPr>
        <w:tabs>
          <w:tab w:val="left" w:pos="567"/>
        </w:tabs>
        <w:rPr>
          <w:lang w:val="ru-RU"/>
        </w:rPr>
      </w:pPr>
    </w:p>
    <w:p w:rsidR="00BA66CB" w:rsidRPr="00D453F8" w:rsidRDefault="00BA66CB" w:rsidP="00BA66CB">
      <w:pPr>
        <w:tabs>
          <w:tab w:val="left" w:pos="567"/>
        </w:tabs>
        <w:rPr>
          <w:lang w:val="ru-RU"/>
        </w:rPr>
      </w:pPr>
    </w:p>
    <w:p w:rsidR="00BA66CB" w:rsidRPr="00E775A9" w:rsidRDefault="00BA66CB" w:rsidP="00BA66CB">
      <w:pPr>
        <w:spacing w:line="240" w:lineRule="auto"/>
        <w:rPr>
          <w:b/>
          <w:sz w:val="24"/>
          <w:szCs w:val="24"/>
          <w:lang w:val="ru-RU"/>
        </w:rPr>
      </w:pPr>
      <w:r w:rsidRPr="005B5B29">
        <w:rPr>
          <w:b/>
          <w:sz w:val="28"/>
          <w:lang w:val="sr-Latn-CS"/>
        </w:rPr>
        <w:t xml:space="preserve">Тема: </w:t>
      </w:r>
      <w:r>
        <w:rPr>
          <w:b/>
          <w:sz w:val="28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ПОЛИТИКА  УПРАВЉАЊА  МИГРАЦИЈАМА</w:t>
      </w:r>
    </w:p>
    <w:p w:rsidR="00BA66CB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</w:p>
    <w:p w:rsidR="00BA66CB" w:rsidRPr="004F37A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</w:p>
    <w:p w:rsidR="00BA66CB" w:rsidRPr="005B5B2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  <w:r w:rsidRPr="005B5B29">
        <w:rPr>
          <w:b/>
          <w:sz w:val="28"/>
          <w:lang w:val="sr-Latn-CS"/>
        </w:rPr>
        <w:t>Датум:</w:t>
      </w:r>
      <w:r w:rsidRPr="00D453F8">
        <w:rPr>
          <w:b/>
          <w:sz w:val="28"/>
          <w:lang w:val="ru-RU"/>
        </w:rPr>
        <w:t xml:space="preserve">      </w:t>
      </w:r>
      <w:r>
        <w:rPr>
          <w:b/>
          <w:sz w:val="28"/>
          <w:lang w:val="ru-RU"/>
        </w:rPr>
        <w:t>17.11</w:t>
      </w:r>
      <w:r w:rsidRPr="00D453F8">
        <w:rPr>
          <w:b/>
          <w:sz w:val="28"/>
          <w:lang w:val="ru-RU"/>
        </w:rPr>
        <w:t>.</w:t>
      </w:r>
      <w:r w:rsidRPr="005B5B29">
        <w:rPr>
          <w:b/>
          <w:sz w:val="28"/>
          <w:lang w:val="sr-Latn-CS"/>
        </w:rPr>
        <w:t>20</w:t>
      </w:r>
      <w:r w:rsidRPr="00D453F8">
        <w:rPr>
          <w:b/>
          <w:sz w:val="28"/>
          <w:lang w:val="ru-RU"/>
        </w:rPr>
        <w:t>1</w:t>
      </w:r>
      <w:r>
        <w:rPr>
          <w:b/>
          <w:sz w:val="28"/>
          <w:lang w:val="ru-RU"/>
        </w:rPr>
        <w:t>6.</w:t>
      </w:r>
    </w:p>
    <w:p w:rsidR="00BA66CB" w:rsidRPr="005B5B2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BA66CB" w:rsidRPr="00D453F8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  <w:r w:rsidRPr="00D453F8">
        <w:rPr>
          <w:b/>
          <w:sz w:val="28"/>
          <w:lang w:val="sr-Cyrl-RS"/>
        </w:rPr>
        <w:t>Број:</w:t>
      </w:r>
      <w:r w:rsidRPr="00D453F8">
        <w:rPr>
          <w:b/>
          <w:sz w:val="28"/>
          <w:lang w:val="sr-Cyrl-RS"/>
        </w:rPr>
        <w:tab/>
      </w:r>
      <w:r>
        <w:rPr>
          <w:b/>
          <w:sz w:val="28"/>
          <w:lang w:val="sr-Latn-CS"/>
        </w:rPr>
        <w:t xml:space="preserve">       </w:t>
      </w:r>
      <w:r w:rsidRPr="004F37A9">
        <w:rPr>
          <w:b/>
          <w:sz w:val="28"/>
          <w:lang w:val="ru-RU"/>
        </w:rPr>
        <w:t xml:space="preserve"> </w:t>
      </w:r>
      <w:r w:rsidRPr="00BA66CB">
        <w:rPr>
          <w:b/>
          <w:sz w:val="28"/>
          <w:lang w:val="ru-RU"/>
        </w:rPr>
        <w:t>02</w:t>
      </w:r>
      <w:r>
        <w:rPr>
          <w:b/>
          <w:sz w:val="28"/>
          <w:lang w:val="sr-Latn-CS"/>
        </w:rPr>
        <w:t>/201</w:t>
      </w:r>
      <w:r>
        <w:rPr>
          <w:b/>
          <w:sz w:val="28"/>
          <w:lang w:val="sr-Cyrl-RS"/>
        </w:rPr>
        <w:t>6</w:t>
      </w:r>
    </w:p>
    <w:p w:rsidR="00BA66CB" w:rsidRPr="005B5B2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sr-Latn-RS"/>
        </w:rPr>
      </w:pPr>
    </w:p>
    <w:p w:rsidR="00BA66CB" w:rsidRPr="004F37A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BA66CB" w:rsidRPr="004F37A9" w:rsidRDefault="00BA66CB" w:rsidP="00BA66CB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BA66CB" w:rsidRPr="00E775A9" w:rsidRDefault="00BA66CB" w:rsidP="00BA66CB">
      <w:pPr>
        <w:spacing w:line="240" w:lineRule="auto"/>
        <w:rPr>
          <w:b/>
          <w:sz w:val="28"/>
          <w:lang w:val="sr-Cyrl-RS"/>
        </w:rPr>
      </w:pPr>
    </w:p>
    <w:p w:rsidR="00BA66CB" w:rsidRPr="004F37A9" w:rsidRDefault="00BA66CB" w:rsidP="00BA66CB">
      <w:pPr>
        <w:spacing w:line="240" w:lineRule="auto"/>
        <w:rPr>
          <w:b/>
          <w:sz w:val="28"/>
          <w:lang w:val="ru-RU"/>
        </w:rPr>
      </w:pPr>
    </w:p>
    <w:p w:rsidR="00BA66CB" w:rsidRPr="004F37A9" w:rsidRDefault="00BA66CB" w:rsidP="00BA66CB">
      <w:pPr>
        <w:spacing w:line="240" w:lineRule="auto"/>
        <w:rPr>
          <w:b/>
          <w:sz w:val="28"/>
          <w:lang w:val="ru-RU"/>
        </w:rPr>
      </w:pPr>
    </w:p>
    <w:p w:rsidR="00BA66CB" w:rsidRPr="00E775A9" w:rsidRDefault="00BA66CB" w:rsidP="00BA66CB">
      <w:pPr>
        <w:spacing w:line="240" w:lineRule="auto"/>
        <w:jc w:val="both"/>
        <w:rPr>
          <w:b/>
          <w:sz w:val="22"/>
          <w:szCs w:val="22"/>
          <w:lang w:val="hr-BA"/>
        </w:rPr>
      </w:pPr>
      <w:bookmarkStart w:id="0" w:name="_Toc196037342"/>
      <w:bookmarkEnd w:id="0"/>
      <w:r w:rsidRPr="00E775A9">
        <w:rPr>
          <w:b/>
          <w:sz w:val="22"/>
          <w:szCs w:val="22"/>
          <w:lang w:val="ru-RU"/>
        </w:rPr>
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</w:t>
      </w:r>
      <w:r w:rsidRPr="00E775A9">
        <w:rPr>
          <w:b/>
          <w:sz w:val="22"/>
          <w:szCs w:val="22"/>
          <w:lang w:val="hr-BA"/>
        </w:rPr>
        <w:t xml:space="preserve">поште </w:t>
      </w:r>
      <w:hyperlink r:id="rId9" w:history="1">
        <w:r w:rsidRPr="00E775A9">
          <w:rPr>
            <w:rStyle w:val="Hyperlink"/>
            <w:i/>
            <w:sz w:val="22"/>
            <w:szCs w:val="22"/>
            <w:lang w:val="hr-BA"/>
          </w:rPr>
          <w:t>istrazivanja@parlament.rs</w:t>
        </w:r>
        <w:r w:rsidRPr="00E775A9">
          <w:rPr>
            <w:rStyle w:val="Hyperlink"/>
            <w:sz w:val="22"/>
            <w:szCs w:val="22"/>
            <w:lang w:val="hr-BA"/>
          </w:rPr>
          <w:t>.</w:t>
        </w:r>
      </w:hyperlink>
      <w:r w:rsidRPr="00E775A9">
        <w:rPr>
          <w:b/>
          <w:sz w:val="22"/>
          <w:szCs w:val="22"/>
          <w:lang w:val="ru-RU"/>
        </w:rPr>
        <w:t xml:space="preserve"> Истраживања кој</w:t>
      </w:r>
      <w:r w:rsidRPr="00E775A9">
        <w:rPr>
          <w:b/>
          <w:sz w:val="22"/>
          <w:szCs w:val="22"/>
        </w:rPr>
        <w:t>a</w:t>
      </w:r>
      <w:r w:rsidRPr="00E775A9">
        <w:rPr>
          <w:b/>
          <w:sz w:val="22"/>
          <w:szCs w:val="22"/>
          <w:lang w:val="ru-RU"/>
        </w:rPr>
        <w:t xml:space="preserve"> припрема Библиотека Народне </w:t>
      </w:r>
      <w:r w:rsidRPr="00E775A9">
        <w:rPr>
          <w:b/>
          <w:spacing w:val="-4"/>
          <w:sz w:val="22"/>
          <w:szCs w:val="22"/>
          <w:lang w:val="ru-RU"/>
        </w:rPr>
        <w:t>скупштине не одражавају званични став Народне скупштине Републике</w:t>
      </w:r>
      <w:r w:rsidRPr="00E775A9">
        <w:rPr>
          <w:b/>
          <w:sz w:val="22"/>
          <w:szCs w:val="22"/>
          <w:lang w:val="ru-RU"/>
        </w:rPr>
        <w:t xml:space="preserve"> Србије. </w:t>
      </w:r>
    </w:p>
    <w:p w:rsidR="00BA66CB" w:rsidRDefault="00BA66CB" w:rsidP="00BA66CB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  <w:lang w:val="sr-Cyrl-RS"/>
        </w:rPr>
      </w:pPr>
    </w:p>
    <w:p w:rsidR="00A144BD" w:rsidRPr="00BA66CB" w:rsidRDefault="00A144BD" w:rsidP="00C32F4C">
      <w:pPr>
        <w:rPr>
          <w:lang w:val="hr-BA"/>
        </w:rPr>
      </w:pPr>
    </w:p>
    <w:p w:rsidR="00C32F4C" w:rsidRDefault="00C32F4C" w:rsidP="00C32F4C">
      <w:pPr>
        <w:rPr>
          <w:lang w:val="ru-RU"/>
        </w:rPr>
      </w:pPr>
    </w:p>
    <w:p w:rsidR="00C32F4C" w:rsidRDefault="00C32F4C" w:rsidP="00C32F4C">
      <w:pPr>
        <w:rPr>
          <w:lang w:val="ru-RU"/>
        </w:rPr>
      </w:pPr>
    </w:p>
    <w:p w:rsidR="00C32F4C" w:rsidRDefault="00C32F4C" w:rsidP="00C32F4C">
      <w:pPr>
        <w:rPr>
          <w:lang w:val="ru-RU"/>
        </w:rPr>
      </w:pPr>
    </w:p>
    <w:p w:rsidR="00C32F4C" w:rsidRDefault="00C32F4C" w:rsidP="00C32F4C">
      <w:pPr>
        <w:rPr>
          <w:lang w:val="ru-RU"/>
        </w:rPr>
      </w:pPr>
    </w:p>
    <w:p w:rsidR="00C32F4C" w:rsidRPr="00A144BD" w:rsidRDefault="00C32F4C" w:rsidP="00C32F4C">
      <w:pPr>
        <w:rPr>
          <w:lang w:val="ru-RU"/>
        </w:rPr>
      </w:pPr>
    </w:p>
    <w:p w:rsidR="00A144BD" w:rsidRPr="00C32F4C" w:rsidRDefault="00A144BD" w:rsidP="00C32F4C">
      <w:pPr>
        <w:rPr>
          <w:b/>
          <w:bCs/>
          <w:lang w:val="sr-Cyrl-RS"/>
        </w:rPr>
      </w:pPr>
      <w:r w:rsidRPr="00C32F4C">
        <w:rPr>
          <w:b/>
          <w:bCs/>
          <w:lang w:val="sr-Cyrl-RS"/>
        </w:rPr>
        <w:t>САДРЖАЈ</w:t>
      </w:r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TOC \o "1-1" \h \z \u </w:instrText>
      </w:r>
      <w:r>
        <w:rPr>
          <w:lang w:val="sr-Cyrl-RS"/>
        </w:rPr>
        <w:fldChar w:fldCharType="separate"/>
      </w:r>
      <w:hyperlink w:anchor="_Toc468797341" w:history="1">
        <w:r w:rsidRPr="001909B1">
          <w:rPr>
            <w:rStyle w:val="Hyperlink"/>
            <w:noProof/>
            <w:lang w:val="sr-Cyrl-R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2" w:history="1">
        <w:r w:rsidRPr="001909B1">
          <w:rPr>
            <w:rStyle w:val="Hyperlink"/>
            <w:noProof/>
            <w:lang w:val="sr-Cyrl-RS"/>
          </w:rPr>
          <w:t>Политика управљања миграцијама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3" w:history="1">
        <w:r w:rsidRPr="001909B1">
          <w:rPr>
            <w:rStyle w:val="Hyperlink"/>
            <w:noProof/>
            <w:lang w:val="sr-Cyrl-RS"/>
          </w:rPr>
          <w:t>Западна балканска путања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4" w:history="1">
        <w:r w:rsidRPr="001909B1">
          <w:rPr>
            <w:rStyle w:val="Hyperlink"/>
            <w:noProof/>
            <w:lang w:val="sr-Cyrl-RS"/>
          </w:rPr>
          <w:t>Међународна заштита и политика азила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5" w:history="1">
        <w:r w:rsidRPr="001909B1">
          <w:rPr>
            <w:rStyle w:val="Hyperlink"/>
            <w:noProof/>
            <w:lang w:val="sr-Cyrl-RS"/>
          </w:rPr>
          <w:t>Ситуација у Србији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6" w:history="1">
        <w:r w:rsidRPr="001909B1">
          <w:rPr>
            <w:rStyle w:val="Hyperlink"/>
            <w:rFonts w:eastAsia="Times New Roman"/>
            <w:noProof/>
            <w:lang w:val="sr-Cyrl-RS"/>
          </w:rPr>
          <w:t xml:space="preserve">Миграциона политика у </w:t>
        </w:r>
        <w:r w:rsidRPr="001909B1">
          <w:rPr>
            <w:rStyle w:val="Hyperlink"/>
            <w:noProof/>
            <w:lang w:val="sr-Cyrl-RS"/>
          </w:rPr>
          <w:t>Босни и Херцеговнини</w:t>
        </w:r>
        <w:r w:rsidRPr="001909B1">
          <w:rPr>
            <w:rStyle w:val="Hyperlink"/>
            <w:rFonts w:eastAsia="Times New Roman"/>
            <w:noProof/>
            <w:lang w:val="sr-Cyrl-RS"/>
          </w:rPr>
          <w:t xml:space="preserve"> и Словенији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13135" w:rsidRDefault="00F13135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347" w:history="1">
        <w:r w:rsidRPr="001909B1">
          <w:rPr>
            <w:rStyle w:val="Hyperlink"/>
            <w:noProof/>
            <w:lang w:val="sr-Cyrl-RS"/>
          </w:rPr>
          <w:t>Закључак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32F4C" w:rsidRDefault="00F13135" w:rsidP="00A144BD">
      <w:pPr>
        <w:pStyle w:val="Heading1"/>
        <w:rPr>
          <w:lang w:val="sr-Cyrl-RS"/>
        </w:rPr>
      </w:pPr>
      <w:r>
        <w:rPr>
          <w:rFonts w:eastAsiaTheme="minorHAnsi" w:cs="Arial"/>
          <w:szCs w:val="20"/>
          <w:lang w:val="sr-Cyrl-RS"/>
        </w:rPr>
        <w:fldChar w:fldCharType="end"/>
      </w:r>
      <w:bookmarkStart w:id="1" w:name="_GoBack"/>
      <w:bookmarkEnd w:id="1"/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A144BD">
      <w:pPr>
        <w:pStyle w:val="Heading1"/>
        <w:rPr>
          <w:lang w:val="sr-Cyrl-RS"/>
        </w:rPr>
      </w:pPr>
    </w:p>
    <w:p w:rsidR="00C32F4C" w:rsidRDefault="00C32F4C" w:rsidP="00C32F4C">
      <w:pPr>
        <w:rPr>
          <w:lang w:val="sr-Cyrl-RS"/>
        </w:rPr>
      </w:pPr>
    </w:p>
    <w:p w:rsidR="00C32F4C" w:rsidRDefault="00C32F4C" w:rsidP="00C32F4C">
      <w:pPr>
        <w:rPr>
          <w:lang w:val="sr-Cyrl-RS"/>
        </w:rPr>
      </w:pPr>
    </w:p>
    <w:p w:rsidR="00C32F4C" w:rsidRPr="00C32F4C" w:rsidRDefault="00C32F4C" w:rsidP="00C32F4C">
      <w:pPr>
        <w:rPr>
          <w:lang w:val="sr-Cyrl-RS"/>
        </w:rPr>
      </w:pPr>
    </w:p>
    <w:p w:rsidR="00C32F4C" w:rsidRDefault="00C32F4C" w:rsidP="00C32F4C">
      <w:pPr>
        <w:pStyle w:val="Heading1"/>
        <w:rPr>
          <w:lang w:val="sr-Cyrl-RS"/>
        </w:rPr>
      </w:pPr>
      <w:bookmarkStart w:id="2" w:name="_Toc468797341"/>
      <w:r>
        <w:rPr>
          <w:lang w:val="sr-Cyrl-RS"/>
        </w:rPr>
        <w:t>Увод</w:t>
      </w:r>
      <w:bookmarkEnd w:id="2"/>
    </w:p>
    <w:p w:rsidR="00C32F4C" w:rsidRPr="00C32F4C" w:rsidRDefault="00C32F4C" w:rsidP="00C32F4C">
      <w:pPr>
        <w:pStyle w:val="NoSpacing"/>
        <w:rPr>
          <w:lang w:val="sr-Cyrl-RS"/>
        </w:rPr>
      </w:pPr>
    </w:p>
    <w:p w:rsidR="00F8321D" w:rsidRPr="006A5347" w:rsidRDefault="00B95856" w:rsidP="00C32F4C">
      <w:pPr>
        <w:spacing w:line="360" w:lineRule="auto"/>
        <w:jc w:val="both"/>
        <w:rPr>
          <w:rFonts w:eastAsia="Times New Roman"/>
          <w:bCs/>
          <w:i/>
          <w:kern w:val="36"/>
          <w:lang w:val="sr-Cyrl-RS"/>
        </w:rPr>
      </w:pPr>
      <w:bookmarkStart w:id="3" w:name="_Toc468786121"/>
      <w:r>
        <w:rPr>
          <w:lang w:val="sr-Cyrl-RS"/>
        </w:rPr>
        <w:t xml:space="preserve">Према статистици </w:t>
      </w:r>
      <w:r w:rsidR="00E62B5C">
        <w:rPr>
          <w:lang w:val="sr-Latn-RS"/>
        </w:rPr>
        <w:t xml:space="preserve">Еуростата </w:t>
      </w:r>
      <w:r>
        <w:rPr>
          <w:lang w:val="sr-Latn-RS"/>
        </w:rPr>
        <w:t>која се однос</w:t>
      </w:r>
      <w:r>
        <w:rPr>
          <w:lang w:val="sr-Cyrl-RS"/>
        </w:rPr>
        <w:t>и</w:t>
      </w:r>
      <w:r w:rsidR="00C32F4C">
        <w:rPr>
          <w:lang w:val="sr-Latn-RS"/>
        </w:rPr>
        <w:t xml:space="preserve"> на међународн</w:t>
      </w:r>
      <w:r w:rsidR="00C32F4C">
        <w:rPr>
          <w:lang w:val="sr-Cyrl-RS"/>
        </w:rPr>
        <w:t>е</w:t>
      </w:r>
      <w:r w:rsidR="00C32F4C">
        <w:rPr>
          <w:lang w:val="sr-Latn-RS"/>
        </w:rPr>
        <w:t xml:space="preserve"> миграциј</w:t>
      </w:r>
      <w:r w:rsidR="00C32F4C">
        <w:rPr>
          <w:lang w:val="sr-Cyrl-RS"/>
        </w:rPr>
        <w:t>е</w:t>
      </w:r>
      <w:r w:rsidR="00A75785">
        <w:rPr>
          <w:lang w:val="sr-Cyrl-RS"/>
        </w:rPr>
        <w:t xml:space="preserve"> и</w:t>
      </w:r>
      <w:r w:rsidR="00E62B5C">
        <w:rPr>
          <w:lang w:val="sr-Latn-RS"/>
        </w:rPr>
        <w:t>змеђу 1986. и 2007. го</w:t>
      </w:r>
      <w:r w:rsidR="0075013B">
        <w:rPr>
          <w:lang w:val="sr-Latn-RS"/>
        </w:rPr>
        <w:t>дине, подаци о азилу су прикупљ</w:t>
      </w:r>
      <w:r w:rsidR="0075013B">
        <w:rPr>
          <w:lang w:val="sr-Cyrl-RS"/>
        </w:rPr>
        <w:t>а</w:t>
      </w:r>
      <w:r w:rsidR="00E62B5C">
        <w:rPr>
          <w:lang w:val="sr-Latn-RS"/>
        </w:rPr>
        <w:t xml:space="preserve">ни на основу </w:t>
      </w:r>
      <w:r w:rsidRPr="00A75785">
        <w:rPr>
          <w:i/>
          <w:lang w:val="sr-Latn-RS"/>
        </w:rPr>
        <w:t>gentlemen’s agreement</w:t>
      </w:r>
      <w:r w:rsidR="0075013B">
        <w:rPr>
          <w:lang w:val="sr-Cyrl-RS"/>
        </w:rPr>
        <w:t xml:space="preserve"> </w:t>
      </w:r>
      <w:r>
        <w:rPr>
          <w:lang w:val="sr-Latn-RS"/>
        </w:rPr>
        <w:t>уговора</w:t>
      </w:r>
      <w:r w:rsidR="00E62B5C">
        <w:rPr>
          <w:lang w:val="sr-Latn-RS"/>
        </w:rPr>
        <w:t xml:space="preserve">. Од 2008. подаци Еуростата </w:t>
      </w:r>
      <w:r>
        <w:rPr>
          <w:lang w:val="sr-Cyrl-RS"/>
        </w:rPr>
        <w:t>су</w:t>
      </w:r>
      <w:r>
        <w:rPr>
          <w:lang w:val="sr-Latn-RS"/>
        </w:rPr>
        <w:t xml:space="preserve"> у оквиру регулаторног оквира</w:t>
      </w:r>
      <w:r w:rsidR="00612763">
        <w:rPr>
          <w:lang w:val="sr-Cyrl-RS"/>
        </w:rPr>
        <w:t xml:space="preserve"> Европске комисије </w:t>
      </w:r>
      <w:r>
        <w:rPr>
          <w:lang w:val="sr-Cyrl-RS"/>
        </w:rPr>
        <w:t xml:space="preserve"> </w:t>
      </w:r>
      <w:r w:rsidR="00E62B5C">
        <w:rPr>
          <w:lang w:val="sr-Latn-RS"/>
        </w:rPr>
        <w:t xml:space="preserve">у складу </w:t>
      </w:r>
      <w:r>
        <w:rPr>
          <w:lang w:val="sr-Latn-RS"/>
        </w:rPr>
        <w:t>са одредбама члана 4. Уредбе (Е</w:t>
      </w:r>
      <w:r>
        <w:rPr>
          <w:lang w:val="sr-Cyrl-RS"/>
        </w:rPr>
        <w:t>К</w:t>
      </w:r>
      <w:r w:rsidR="00E62B5C">
        <w:rPr>
          <w:lang w:val="sr-Latn-RS"/>
        </w:rPr>
        <w:t>) 862/2007</w:t>
      </w:r>
      <w:r w:rsidR="00A4728A">
        <w:rPr>
          <w:rStyle w:val="FootnoteReference"/>
          <w:color w:val="222222"/>
          <w:lang w:val="sr-Latn-RS"/>
        </w:rPr>
        <w:footnoteReference w:id="1"/>
      </w:r>
      <w:r w:rsidR="00E62B5C">
        <w:rPr>
          <w:lang w:val="sr-Latn-RS"/>
        </w:rPr>
        <w:t xml:space="preserve">; </w:t>
      </w:r>
      <w:r>
        <w:rPr>
          <w:lang w:val="sr-Cyrl-RS"/>
        </w:rPr>
        <w:t>Напомиње се да се д</w:t>
      </w:r>
      <w:r>
        <w:rPr>
          <w:lang w:val="sr-Latn-RS"/>
        </w:rPr>
        <w:t xml:space="preserve">ве различите категорије лица </w:t>
      </w:r>
      <w:r>
        <w:rPr>
          <w:lang w:val="sr-Cyrl-RS"/>
        </w:rPr>
        <w:t>морају</w:t>
      </w:r>
      <w:r>
        <w:rPr>
          <w:lang w:val="sr-Latn-RS"/>
        </w:rPr>
        <w:t xml:space="preserve"> узети у обзир при анализи статистике з</w:t>
      </w:r>
      <w:r w:rsidR="00F8321D">
        <w:rPr>
          <w:lang w:val="sr-Latn-RS"/>
        </w:rPr>
        <w:t>а азил. Први обухвата азилант</w:t>
      </w:r>
      <w:r w:rsidR="00F8321D">
        <w:rPr>
          <w:lang w:val="sr-Cyrl-RS"/>
        </w:rPr>
        <w:t>а</w:t>
      </w:r>
      <w:r>
        <w:rPr>
          <w:lang w:val="sr-Latn-RS"/>
        </w:rPr>
        <w:t xml:space="preserve"> који су уложио жалбу (азил) и чији захтев је разматран од стране надлежног органа. Друга је састављена од особа које су признате, након разматрања, као избеглице, или им је одобрена друг</w:t>
      </w:r>
      <w:r>
        <w:rPr>
          <w:lang w:val="sr-Cyrl-RS"/>
        </w:rPr>
        <w:t>а</w:t>
      </w:r>
      <w:r>
        <w:rPr>
          <w:lang w:val="sr-Latn-RS"/>
        </w:rPr>
        <w:t xml:space="preserve"> врст</w:t>
      </w:r>
      <w:r>
        <w:rPr>
          <w:lang w:val="sr-Cyrl-RS"/>
        </w:rPr>
        <w:t>а</w:t>
      </w:r>
      <w:r>
        <w:rPr>
          <w:lang w:val="sr-Latn-RS"/>
        </w:rPr>
        <w:t xml:space="preserve"> међународне заштите</w:t>
      </w:r>
      <w:r>
        <w:rPr>
          <w:lang w:val="sr-Cyrl-RS"/>
        </w:rPr>
        <w:t xml:space="preserve"> </w:t>
      </w:r>
      <w:r>
        <w:rPr>
          <w:lang w:val="sr-Latn-RS"/>
        </w:rPr>
        <w:t>или су добиле заштиту н</w:t>
      </w:r>
      <w:r w:rsidR="00D06BB4">
        <w:rPr>
          <w:lang w:val="sr-Latn-RS"/>
        </w:rPr>
        <w:t>а основу националног закона кој</w:t>
      </w:r>
      <w:r w:rsidR="00D06BB4">
        <w:rPr>
          <w:lang w:val="sr-Cyrl-RS"/>
        </w:rPr>
        <w:t>и</w:t>
      </w:r>
      <w:r>
        <w:rPr>
          <w:lang w:val="sr-Latn-RS"/>
        </w:rPr>
        <w:t xml:space="preserve"> се од</w:t>
      </w:r>
      <w:r w:rsidR="00D06BB4">
        <w:rPr>
          <w:lang w:val="sr-Latn-RS"/>
        </w:rPr>
        <w:t>нос</w:t>
      </w:r>
      <w:r w:rsidR="00D06BB4">
        <w:rPr>
          <w:lang w:val="sr-Cyrl-RS"/>
        </w:rPr>
        <w:t>и</w:t>
      </w:r>
      <w:r>
        <w:rPr>
          <w:lang w:val="sr-Latn-RS"/>
        </w:rPr>
        <w:t xml:space="preserve"> на међународну заштиту (</w:t>
      </w:r>
      <w:r>
        <w:rPr>
          <w:lang w:val="sr-Cyrl-RS"/>
        </w:rPr>
        <w:t xml:space="preserve">боравак </w:t>
      </w:r>
      <w:r w:rsidR="00663941">
        <w:rPr>
          <w:lang w:val="sr-Latn-RS"/>
        </w:rPr>
        <w:t>из хуманитарних разлога)</w:t>
      </w:r>
      <w:r>
        <w:rPr>
          <w:lang w:val="sr-Latn-RS"/>
        </w:rPr>
        <w:t xml:space="preserve"> или су одбацили било какав облик заштите.</w:t>
      </w:r>
      <w:r w:rsidR="00F8321D">
        <w:rPr>
          <w:lang w:val="sr-Cyrl-RS"/>
        </w:rPr>
        <w:t xml:space="preserve"> Важно је упутити на одређене европске прописе</w:t>
      </w:r>
      <w:r w:rsidR="00F8321D" w:rsidRPr="00803B36">
        <w:rPr>
          <w:lang w:val="sr-Cyrl-RS"/>
        </w:rPr>
        <w:t xml:space="preserve"> у области азила и миграција</w:t>
      </w:r>
      <w:r w:rsidR="00F8321D">
        <w:rPr>
          <w:lang w:val="sr-Cyrl-RS"/>
        </w:rPr>
        <w:t xml:space="preserve"> који</w:t>
      </w:r>
      <w:r w:rsidR="00F8321D" w:rsidRPr="00803B36">
        <w:rPr>
          <w:lang w:val="sr-Cyrl-RS"/>
        </w:rPr>
        <w:t xml:space="preserve"> су ре</w:t>
      </w:r>
      <w:r w:rsidR="00F8321D">
        <w:rPr>
          <w:lang w:val="sr-Cyrl-RS"/>
        </w:rPr>
        <w:t>левантни</w:t>
      </w:r>
      <w:r w:rsidR="00F8321D" w:rsidRPr="00803B36">
        <w:rPr>
          <w:lang w:val="sr-Cyrl-RS"/>
        </w:rPr>
        <w:t xml:space="preserve"> за састављање и </w:t>
      </w:r>
      <w:r w:rsidR="00F8321D">
        <w:rPr>
          <w:lang w:val="sr-Cyrl-RS"/>
        </w:rPr>
        <w:t>припремање</w:t>
      </w:r>
      <w:r w:rsidR="00F8321D" w:rsidRPr="00803B36">
        <w:rPr>
          <w:lang w:val="sr-Cyrl-RS"/>
        </w:rPr>
        <w:t xml:space="preserve"> статистичких подат</w:t>
      </w:r>
      <w:r w:rsidR="00F8321D">
        <w:rPr>
          <w:lang w:val="sr-Cyrl-RS"/>
        </w:rPr>
        <w:t>ака о азилу и</w:t>
      </w:r>
      <w:r w:rsidR="00D06BB4">
        <w:rPr>
          <w:lang w:val="sr-Cyrl-RS"/>
        </w:rPr>
        <w:t xml:space="preserve"> управљу миграцијама</w:t>
      </w:r>
      <w:r w:rsidR="00F8321D">
        <w:rPr>
          <w:lang w:val="sr-Cyrl-RS"/>
        </w:rPr>
        <w:t>, као што су:</w:t>
      </w:r>
      <w:r w:rsidR="00336EBC">
        <w:rPr>
          <w:rStyle w:val="FootnoteReference"/>
          <w:color w:val="222222"/>
          <w:lang w:val="sr-Cyrl-RS"/>
        </w:rPr>
        <w:footnoteReference w:id="2"/>
      </w:r>
      <w:bookmarkEnd w:id="3"/>
    </w:p>
    <w:p w:rsidR="00F8321D" w:rsidRPr="00336EBC" w:rsidRDefault="009C2A77" w:rsidP="00F8321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i/>
          <w:lang w:val="sr-Cyrl-RS"/>
        </w:rPr>
      </w:pPr>
      <w:hyperlink r:id="rId10" w:history="1">
        <w:r w:rsidR="00F8321D" w:rsidRPr="00336EBC">
          <w:rPr>
            <w:rFonts w:eastAsia="Times New Roman"/>
            <w:i/>
            <w:lang w:val="sr-Cyrl-RS"/>
          </w:rPr>
          <w:t>European Parliament and Council Regulation (EC) No 862/2007 on Community statistics on migration and international protection and repealing Council Regulation (EEC) No 311/76 on the compilation of statistics on foreign workers</w:t>
        </w:r>
      </w:hyperlink>
    </w:p>
    <w:p w:rsidR="00F8321D" w:rsidRPr="00F8321D" w:rsidRDefault="009C2A77" w:rsidP="00F8321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color w:val="0000FF"/>
          <w:u w:val="single"/>
          <w:lang w:val="sr-Cyrl-RS"/>
        </w:rPr>
      </w:pPr>
      <w:hyperlink r:id="rId11" w:history="1">
        <w:r w:rsidR="00F8321D" w:rsidRPr="00336EBC">
          <w:rPr>
            <w:rFonts w:eastAsia="Times New Roman"/>
            <w:i/>
            <w:lang w:val="sr-Cyrl-RS"/>
          </w:rPr>
          <w:t>Commission Regulation (EU) No 216/2010 implementing Regulation (EC) No 862/2007 of the European Parliament and of the Council on Community statistics on migration and international protection, as regards the definitions of categories of the reasons for the residence permits</w:t>
        </w:r>
      </w:hyperlink>
    </w:p>
    <w:p w:rsidR="00336EBC" w:rsidRDefault="00710B71" w:rsidP="00E62B5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Треба напоменути да је у</w:t>
      </w:r>
      <w:r>
        <w:rPr>
          <w:color w:val="222222"/>
          <w:lang w:val="sr-Latn-RS"/>
        </w:rPr>
        <w:t xml:space="preserve"> децембру 2011. године, Европска комисија усвојила Информацију о солидарности унутар ЕУ у области азила </w:t>
      </w:r>
      <w:r w:rsidR="006A5347" w:rsidRPr="00734ADB">
        <w:rPr>
          <w:i/>
          <w:color w:val="222222"/>
          <w:lang w:val="sr-Latn-RS"/>
        </w:rPr>
        <w:t>Enhanced intra-EU so</w:t>
      </w:r>
      <w:r w:rsidR="00D06BB4">
        <w:rPr>
          <w:i/>
          <w:color w:val="222222"/>
          <w:lang w:val="sr-Latn-RS"/>
        </w:rPr>
        <w:t>lidarity in the field of asylum</w:t>
      </w:r>
      <w:r w:rsidR="00D06BB4">
        <w:rPr>
          <w:i/>
          <w:color w:val="222222"/>
          <w:lang w:val="sr-Cyrl-RS"/>
        </w:rPr>
        <w:t>,</w:t>
      </w:r>
      <w:r w:rsidR="006A5347" w:rsidRPr="006A5347">
        <w:rPr>
          <w:color w:val="222222"/>
          <w:lang w:val="sr-Latn-RS"/>
        </w:rPr>
        <w:t xml:space="preserve"> </w:t>
      </w:r>
      <w:r w:rsidR="00A4728A">
        <w:rPr>
          <w:i/>
          <w:color w:val="222222"/>
          <w:lang w:val="sr-Latn-RS"/>
        </w:rPr>
        <w:t>COM(2011) 835</w:t>
      </w:r>
      <w:r w:rsidRPr="00734ADB">
        <w:rPr>
          <w:i/>
          <w:color w:val="222222"/>
          <w:lang w:val="sr-Latn-RS"/>
        </w:rPr>
        <w:t>.</w:t>
      </w:r>
      <w:r>
        <w:rPr>
          <w:color w:val="222222"/>
          <w:lang w:val="sr-Latn-RS"/>
        </w:rPr>
        <w:t xml:space="preserve"> </w:t>
      </w:r>
      <w:r w:rsidR="006A5347">
        <w:rPr>
          <w:color w:val="222222"/>
          <w:lang w:val="sr-Cyrl-RS"/>
        </w:rPr>
        <w:t>Информација садржи</w:t>
      </w:r>
      <w:r>
        <w:rPr>
          <w:color w:val="222222"/>
          <w:lang w:val="sr-Latn-RS"/>
        </w:rPr>
        <w:t xml:space="preserve"> пр</w:t>
      </w:r>
      <w:r w:rsidR="006A5347">
        <w:rPr>
          <w:color w:val="222222"/>
          <w:lang w:val="sr-Cyrl-RS"/>
        </w:rPr>
        <w:t>епоруке</w:t>
      </w:r>
      <w:r>
        <w:rPr>
          <w:color w:val="222222"/>
          <w:lang w:val="sr-Latn-RS"/>
        </w:rPr>
        <w:t xml:space="preserve"> за јачање техничке и финансијске сарадње, </w:t>
      </w:r>
      <w:r w:rsidR="00D06BB4">
        <w:rPr>
          <w:color w:val="222222"/>
          <w:lang w:val="sr-Cyrl-RS"/>
        </w:rPr>
        <w:t>у циљу</w:t>
      </w:r>
      <w:r w:rsidR="00D06BB4">
        <w:rPr>
          <w:color w:val="222222"/>
          <w:lang w:val="sr-Latn-RS"/>
        </w:rPr>
        <w:t xml:space="preserve"> бољ</w:t>
      </w:r>
      <w:r w:rsidR="00D06BB4">
        <w:rPr>
          <w:color w:val="222222"/>
          <w:lang w:val="sr-Cyrl-RS"/>
        </w:rPr>
        <w:t>е</w:t>
      </w:r>
      <w:r w:rsidR="00D06BB4">
        <w:rPr>
          <w:color w:val="222222"/>
          <w:lang w:val="sr-Latn-RS"/>
        </w:rPr>
        <w:t xml:space="preserve"> расподел</w:t>
      </w:r>
      <w:r w:rsidR="00D06BB4">
        <w:rPr>
          <w:color w:val="222222"/>
          <w:lang w:val="sr-Cyrl-RS"/>
        </w:rPr>
        <w:t>е</w:t>
      </w:r>
      <w:r w:rsidR="006A5347">
        <w:rPr>
          <w:color w:val="222222"/>
          <w:lang w:val="sr-Latn-RS"/>
        </w:rPr>
        <w:t xml:space="preserve"> одговорности и побољш</w:t>
      </w:r>
      <w:r w:rsidR="00D06BB4">
        <w:rPr>
          <w:color w:val="222222"/>
          <w:lang w:val="sr-Cyrl-RS"/>
        </w:rPr>
        <w:t>ања</w:t>
      </w:r>
      <w:r>
        <w:rPr>
          <w:color w:val="222222"/>
          <w:lang w:val="sr-Latn-RS"/>
        </w:rPr>
        <w:t xml:space="preserve"> управљања у систему азила у ЕУ, и то кроз:</w:t>
      </w:r>
    </w:p>
    <w:p w:rsidR="00F904D7" w:rsidRDefault="00336EBC" w:rsidP="00E62B5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увођење </w:t>
      </w:r>
      <w:r>
        <w:rPr>
          <w:color w:val="222222"/>
          <w:lang w:val="sr-Cyrl-RS"/>
        </w:rPr>
        <w:t>процена</w:t>
      </w:r>
      <w:r w:rsidR="006A5347">
        <w:rPr>
          <w:color w:val="222222"/>
          <w:lang w:val="sr-Latn-RS"/>
        </w:rPr>
        <w:t xml:space="preserve"> и механиз</w:t>
      </w:r>
      <w:r w:rsidR="006A5347">
        <w:rPr>
          <w:color w:val="222222"/>
          <w:lang w:val="sr-Cyrl-RS"/>
        </w:rPr>
        <w:t>ма</w:t>
      </w:r>
      <w:r w:rsidR="00710B71">
        <w:rPr>
          <w:color w:val="222222"/>
          <w:lang w:val="sr-Latn-RS"/>
        </w:rPr>
        <w:t xml:space="preserve"> раног упозоравања за откривање </w:t>
      </w:r>
      <w:r w:rsidR="006A5347">
        <w:rPr>
          <w:color w:val="222222"/>
          <w:lang w:val="sr-Latn-RS"/>
        </w:rPr>
        <w:t>проблем</w:t>
      </w:r>
      <w:r w:rsidR="006A5347">
        <w:rPr>
          <w:color w:val="222222"/>
          <w:lang w:val="sr-Cyrl-RS"/>
        </w:rPr>
        <w:t>а</w:t>
      </w:r>
      <w:r w:rsidR="00710B71">
        <w:rPr>
          <w:color w:val="222222"/>
          <w:lang w:val="sr-Latn-RS"/>
        </w:rPr>
        <w:t>;</w:t>
      </w:r>
    </w:p>
    <w:p w:rsidR="00F904D7" w:rsidRDefault="00710B71" w:rsidP="00E62B5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</w:t>
      </w:r>
      <w:r w:rsidR="006A5347">
        <w:rPr>
          <w:color w:val="222222"/>
          <w:lang w:val="sr-Cyrl-RS"/>
        </w:rPr>
        <w:t>јачање</w:t>
      </w:r>
      <w:r>
        <w:rPr>
          <w:color w:val="222222"/>
          <w:lang w:val="sr-Latn-RS"/>
        </w:rPr>
        <w:t xml:space="preserve"> подршке </w:t>
      </w:r>
      <w:r w:rsidR="006A5347"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улога </w:t>
      </w:r>
      <w:r w:rsidR="006A5347">
        <w:rPr>
          <w:color w:val="222222"/>
          <w:lang w:val="sr-Cyrl-RS"/>
        </w:rPr>
        <w:t>институција</w:t>
      </w:r>
      <w:r>
        <w:rPr>
          <w:color w:val="222222"/>
          <w:lang w:val="sr-Latn-RS"/>
        </w:rPr>
        <w:t>;</w:t>
      </w:r>
    </w:p>
    <w:p w:rsidR="00F904D7" w:rsidRDefault="00710B71" w:rsidP="00E62B5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 повећање износа расположивих средстава, узимајући у обзир значајне промене у броју азиланата;</w:t>
      </w:r>
    </w:p>
    <w:p w:rsidR="00F904D7" w:rsidRDefault="006A5347" w:rsidP="00E62B5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 развој и подстицање пресељењ</w:t>
      </w:r>
      <w:r>
        <w:rPr>
          <w:color w:val="222222"/>
          <w:lang w:val="sr-Cyrl-RS"/>
        </w:rPr>
        <w:t>а</w:t>
      </w:r>
      <w:r w:rsidR="00710B71">
        <w:rPr>
          <w:color w:val="222222"/>
          <w:lang w:val="sr-Latn-RS"/>
        </w:rPr>
        <w:t xml:space="preserve"> корисника међународне заштите између држава чланица ЕУ.</w:t>
      </w:r>
    </w:p>
    <w:p w:rsidR="00F8321D" w:rsidRPr="00F8321D" w:rsidRDefault="00710B71" w:rsidP="00F8321D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Криза миграната током </w:t>
      </w:r>
      <w:r w:rsidR="006A5347">
        <w:rPr>
          <w:color w:val="222222"/>
          <w:lang w:val="sr-Latn-RS"/>
        </w:rPr>
        <w:t xml:space="preserve">2015. године и </w:t>
      </w:r>
      <w:r w:rsidR="006A5347">
        <w:rPr>
          <w:color w:val="222222"/>
          <w:lang w:val="sr-Cyrl-RS"/>
        </w:rPr>
        <w:t>почетком</w:t>
      </w:r>
      <w:r>
        <w:rPr>
          <w:color w:val="222222"/>
          <w:lang w:val="sr-Latn-RS"/>
        </w:rPr>
        <w:t xml:space="preserve"> 2016. године резултирала </w:t>
      </w:r>
      <w:r w:rsidR="006A5347">
        <w:rPr>
          <w:color w:val="222222"/>
          <w:lang w:val="sr-Cyrl-RS"/>
        </w:rPr>
        <w:t xml:space="preserve">је новим акцијама </w:t>
      </w:r>
      <w:r>
        <w:rPr>
          <w:color w:val="222222"/>
          <w:lang w:val="sr-Latn-RS"/>
        </w:rPr>
        <w:t xml:space="preserve">у Европској комисији </w:t>
      </w:r>
      <w:r w:rsidR="006A5347">
        <w:rPr>
          <w:color w:val="222222"/>
          <w:lang w:val="sr-Cyrl-RS"/>
        </w:rPr>
        <w:t>(</w:t>
      </w:r>
      <w:r w:rsidR="00336EBC">
        <w:rPr>
          <w:color w:val="222222"/>
          <w:lang w:val="sr-Latn-RS"/>
        </w:rPr>
        <w:t>инструмент помоћи унутар ЕУ</w:t>
      </w:r>
      <w:r>
        <w:rPr>
          <w:color w:val="222222"/>
          <w:lang w:val="sr-Latn-RS"/>
        </w:rPr>
        <w:t xml:space="preserve"> </w:t>
      </w:r>
      <w:r w:rsidR="00D06BB4">
        <w:rPr>
          <w:color w:val="222222"/>
          <w:lang w:val="sr-Cyrl-RS"/>
        </w:rPr>
        <w:t>вредан</w:t>
      </w:r>
      <w:r w:rsidR="006A5347">
        <w:rPr>
          <w:color w:val="222222"/>
          <w:lang w:val="sr-Latn-RS"/>
        </w:rPr>
        <w:t xml:space="preserve"> 700 милиона евра за помоћ </w:t>
      </w:r>
      <w:r>
        <w:rPr>
          <w:color w:val="222222"/>
          <w:lang w:val="sr-Latn-RS"/>
        </w:rPr>
        <w:t xml:space="preserve">у периоду од три године) </w:t>
      </w:r>
      <w:r w:rsidR="00612763">
        <w:rPr>
          <w:color w:val="222222"/>
          <w:lang w:val="sr-Cyrl-RS"/>
        </w:rPr>
        <w:t xml:space="preserve">са намером </w:t>
      </w:r>
      <w:r>
        <w:rPr>
          <w:color w:val="222222"/>
          <w:lang w:val="sr-Latn-RS"/>
        </w:rPr>
        <w:t xml:space="preserve">да </w:t>
      </w:r>
      <w:r w:rsidR="006A5347">
        <w:rPr>
          <w:color w:val="222222"/>
          <w:lang w:val="sr-Cyrl-RS"/>
        </w:rPr>
        <w:t>се</w:t>
      </w:r>
      <w:r w:rsidR="006A5347">
        <w:rPr>
          <w:color w:val="222222"/>
          <w:lang w:val="sr-Latn-RS"/>
        </w:rPr>
        <w:t xml:space="preserve"> спречи хуманитарн</w:t>
      </w:r>
      <w:r w:rsidR="006A5347">
        <w:rPr>
          <w:color w:val="222222"/>
          <w:lang w:val="sr-Cyrl-RS"/>
        </w:rPr>
        <w:t>а криза</w:t>
      </w:r>
      <w:r>
        <w:rPr>
          <w:color w:val="222222"/>
          <w:lang w:val="sr-Latn-RS"/>
        </w:rPr>
        <w:t xml:space="preserve"> и да </w:t>
      </w:r>
      <w:r w:rsidR="006A5347">
        <w:rPr>
          <w:color w:val="222222"/>
          <w:lang w:val="sr-Cyrl-RS"/>
        </w:rPr>
        <w:t>се</w:t>
      </w:r>
      <w:r w:rsidR="006A5347">
        <w:rPr>
          <w:color w:val="222222"/>
          <w:lang w:val="sr-Latn-RS"/>
        </w:rPr>
        <w:t xml:space="preserve"> да брже </w:t>
      </w:r>
      <w:r w:rsidR="006A5347">
        <w:rPr>
          <w:color w:val="222222"/>
          <w:lang w:val="sr-Cyrl-RS"/>
        </w:rPr>
        <w:t>обезбеди</w:t>
      </w:r>
      <w:r w:rsidR="006A5347">
        <w:rPr>
          <w:color w:val="222222"/>
          <w:lang w:val="sr-Latn-RS"/>
        </w:rPr>
        <w:t xml:space="preserve"> хран</w:t>
      </w:r>
      <w:r w:rsidR="006A5347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, смештај и </w:t>
      </w:r>
      <w:r w:rsidR="00336EBC">
        <w:rPr>
          <w:color w:val="222222"/>
          <w:lang w:val="sr-Latn-RS"/>
        </w:rPr>
        <w:t>здравствен</w:t>
      </w:r>
      <w:r w:rsidR="00336EBC">
        <w:rPr>
          <w:color w:val="222222"/>
          <w:lang w:val="sr-Cyrl-RS"/>
        </w:rPr>
        <w:t>а</w:t>
      </w:r>
      <w:r w:rsidR="00336EBC">
        <w:rPr>
          <w:color w:val="222222"/>
          <w:lang w:val="sr-Latn-RS"/>
        </w:rPr>
        <w:t xml:space="preserve"> заштит</w:t>
      </w:r>
      <w:r w:rsidR="00336EBC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, у складу са </w:t>
      </w:r>
      <w:r w:rsidR="006A5347">
        <w:rPr>
          <w:color w:val="222222"/>
          <w:lang w:val="sr-Cyrl-RS"/>
        </w:rPr>
        <w:t xml:space="preserve">прописима </w:t>
      </w:r>
      <w:r>
        <w:rPr>
          <w:color w:val="222222"/>
          <w:lang w:val="sr-Latn-RS"/>
        </w:rPr>
        <w:t>у оквиру ЕУ.</w:t>
      </w:r>
      <w:r w:rsidR="006A5347">
        <w:rPr>
          <w:rStyle w:val="FootnoteReference"/>
          <w:color w:val="222222"/>
          <w:lang w:val="sr-Latn-RS"/>
        </w:rPr>
        <w:footnoteReference w:id="3"/>
      </w:r>
      <w:r w:rsidR="00F8321D">
        <w:rPr>
          <w:color w:val="222222"/>
          <w:lang w:val="sr-Cyrl-RS"/>
        </w:rPr>
        <w:t xml:space="preserve"> </w:t>
      </w:r>
    </w:p>
    <w:p w:rsidR="000D4934" w:rsidRPr="00F8321D" w:rsidRDefault="00F8321D" w:rsidP="000D4934">
      <w:pPr>
        <w:spacing w:before="100" w:beforeAutospacing="1" w:after="100" w:afterAutospacing="1" w:line="360" w:lineRule="auto"/>
        <w:jc w:val="both"/>
        <w:rPr>
          <w:b/>
          <w:color w:val="222222"/>
          <w:lang w:val="sr-Cyrl-RS"/>
        </w:rPr>
      </w:pPr>
      <w:r w:rsidRPr="00336EBC">
        <w:rPr>
          <w:color w:val="222222"/>
          <w:lang w:val="sr-Cyrl-RS"/>
        </w:rPr>
        <w:lastRenderedPageBreak/>
        <w:t>Најновија Декларација УН из ове области</w:t>
      </w:r>
      <w:r w:rsidR="00D06BB4">
        <w:rPr>
          <w:color w:val="222222"/>
          <w:lang w:val="sr-Cyrl-RS"/>
        </w:rPr>
        <w:t xml:space="preserve"> је из се</w:t>
      </w:r>
      <w:r w:rsidRPr="00336EBC">
        <w:rPr>
          <w:color w:val="222222"/>
          <w:lang w:val="sr-Cyrl-RS"/>
        </w:rPr>
        <w:t>птембра ове године</w:t>
      </w:r>
      <w:r w:rsidR="00336EBC">
        <w:rPr>
          <w:color w:val="222222"/>
          <w:lang w:val="sr-Cyrl-RS"/>
        </w:rPr>
        <w:t xml:space="preserve">. </w:t>
      </w:r>
      <w:r>
        <w:rPr>
          <w:b/>
          <w:color w:val="222222"/>
          <w:lang w:val="sr-Cyrl-RS"/>
        </w:rPr>
        <w:t xml:space="preserve"> </w:t>
      </w:r>
      <w:r w:rsidR="000D4934" w:rsidRPr="00803B36">
        <w:rPr>
          <w:color w:val="222222"/>
          <w:lang w:val="sr-Cyrl-RS"/>
        </w:rPr>
        <w:t xml:space="preserve">Генерална скупштина Уједињених нација једногласно </w:t>
      </w:r>
      <w:r w:rsidR="00A4728A">
        <w:rPr>
          <w:color w:val="222222"/>
        </w:rPr>
        <w:t>je</w:t>
      </w:r>
      <w:r w:rsidR="00A4728A" w:rsidRPr="00111876">
        <w:rPr>
          <w:color w:val="222222"/>
          <w:lang w:val="sr-Cyrl-RS"/>
        </w:rPr>
        <w:t xml:space="preserve"> </w:t>
      </w:r>
      <w:r w:rsidR="000D4934" w:rsidRPr="00803B36">
        <w:rPr>
          <w:color w:val="222222"/>
          <w:lang w:val="sr-Cyrl-RS"/>
        </w:rPr>
        <w:t>усвојила</w:t>
      </w:r>
      <w:r w:rsidR="00D06BB4" w:rsidRPr="00D06BB4">
        <w:rPr>
          <w:lang w:val="sr-Cyrl-RS"/>
        </w:rPr>
        <w:t xml:space="preserve"> </w:t>
      </w:r>
      <w:r w:rsidR="00D06BB4" w:rsidRPr="00D06BB4">
        <w:rPr>
          <w:color w:val="222222"/>
          <w:lang w:val="sr-Cyrl-RS"/>
        </w:rPr>
        <w:t>декларацију о избеглицама и мигрантима</w:t>
      </w:r>
      <w:r w:rsidR="00D06BB4">
        <w:rPr>
          <w:color w:val="222222"/>
          <w:lang w:val="sr-Cyrl-RS"/>
        </w:rPr>
        <w:t xml:space="preserve"> насловљену</w:t>
      </w:r>
      <w:r w:rsidR="000D4934" w:rsidRPr="00803B36">
        <w:rPr>
          <w:color w:val="222222"/>
          <w:lang w:val="sr-Cyrl-RS"/>
        </w:rPr>
        <w:t xml:space="preserve"> </w:t>
      </w:r>
      <w:r w:rsidR="000D4934" w:rsidRPr="00803B36">
        <w:rPr>
          <w:i/>
          <w:lang w:val="sr-Cyrl-RS"/>
        </w:rPr>
        <w:t>New York Declaration for refugees and Migrants</w:t>
      </w:r>
      <w:r w:rsidR="00336EBC" w:rsidRPr="00336EBC">
        <w:rPr>
          <w:rStyle w:val="FootnoteReference"/>
          <w:color w:val="222222"/>
          <w:lang w:val="sr-Cyrl-RS"/>
        </w:rPr>
        <w:footnoteReference w:id="4"/>
      </w:r>
      <w:r w:rsidR="00D06BB4">
        <w:rPr>
          <w:lang w:val="sr-Cyrl-RS"/>
        </w:rPr>
        <w:t xml:space="preserve"> </w:t>
      </w:r>
      <w:r w:rsidR="000D4934" w:rsidRPr="00803B36">
        <w:rPr>
          <w:color w:val="222222"/>
          <w:lang w:val="sr-Cyrl-RS"/>
        </w:rPr>
        <w:t xml:space="preserve">на самиту који је одржан 19. септембра 2016. </w:t>
      </w:r>
      <w:r w:rsidR="00336EBC">
        <w:rPr>
          <w:color w:val="222222"/>
          <w:lang w:val="sr-Cyrl-RS"/>
        </w:rPr>
        <w:t xml:space="preserve"> </w:t>
      </w:r>
      <w:r w:rsidR="000D4934" w:rsidRPr="00803B36">
        <w:rPr>
          <w:color w:val="222222"/>
          <w:lang w:val="sr-Cyrl-RS"/>
        </w:rPr>
        <w:t>Декларација је одраз политичке воље за побољшање заштите избеглица, посебно</w:t>
      </w:r>
      <w:r w:rsidR="00336EBC">
        <w:rPr>
          <w:color w:val="222222"/>
          <w:lang w:val="sr-Cyrl-RS"/>
        </w:rPr>
        <w:t xml:space="preserve"> у погледу поделе одговорности, али и</w:t>
      </w:r>
      <w:r w:rsidR="000D4934" w:rsidRPr="00803B36">
        <w:rPr>
          <w:color w:val="222222"/>
          <w:lang w:val="sr-Cyrl-RS"/>
        </w:rPr>
        <w:t xml:space="preserve"> производ компромиса и због тога има велики број недостатака, </w:t>
      </w:r>
      <w:r w:rsidR="00D06BB4">
        <w:rPr>
          <w:color w:val="222222"/>
          <w:lang w:val="sr-Cyrl-RS"/>
        </w:rPr>
        <w:t>а посебно неодређености о појединим</w:t>
      </w:r>
      <w:r w:rsidR="000D4934" w:rsidRPr="00803B36">
        <w:rPr>
          <w:color w:val="222222"/>
          <w:lang w:val="sr-Cyrl-RS"/>
        </w:rPr>
        <w:t xml:space="preserve"> питањима и </w:t>
      </w:r>
      <w:r w:rsidR="0075013B">
        <w:rPr>
          <w:color w:val="222222"/>
          <w:lang w:val="sr-Cyrl-RS"/>
        </w:rPr>
        <w:t xml:space="preserve">предлозима. </w:t>
      </w:r>
      <w:r w:rsidR="000D4934" w:rsidRPr="00803B36">
        <w:rPr>
          <w:color w:val="222222"/>
          <w:lang w:val="sr-Cyrl-RS"/>
        </w:rPr>
        <w:t xml:space="preserve"> </w:t>
      </w:r>
      <w:r w:rsidR="0075013B">
        <w:rPr>
          <w:color w:val="222222"/>
          <w:lang w:val="sr-Cyrl-RS"/>
        </w:rPr>
        <w:t>Дакле, Д</w:t>
      </w:r>
      <w:r w:rsidR="000D4934" w:rsidRPr="00803B36">
        <w:rPr>
          <w:color w:val="222222"/>
          <w:lang w:val="sr-Cyrl-RS"/>
        </w:rPr>
        <w:t xml:space="preserve">екларација </w:t>
      </w:r>
      <w:r w:rsidR="0075013B">
        <w:rPr>
          <w:color w:val="222222"/>
          <w:lang w:val="sr-Cyrl-RS"/>
        </w:rPr>
        <w:t xml:space="preserve">представља </w:t>
      </w:r>
      <w:r w:rsidR="000D4934" w:rsidRPr="00803B36">
        <w:rPr>
          <w:color w:val="222222"/>
          <w:lang w:val="sr-Cyrl-RS"/>
        </w:rPr>
        <w:t xml:space="preserve"> почетак новог дијалога који би требало да доведе до усвајања значајније</w:t>
      </w:r>
      <w:r w:rsidR="0075013B">
        <w:rPr>
          <w:color w:val="222222"/>
          <w:lang w:val="sr-Cyrl-RS"/>
        </w:rPr>
        <w:t>г г</w:t>
      </w:r>
      <w:r w:rsidR="000D4934" w:rsidRPr="00803B36">
        <w:rPr>
          <w:color w:val="222222"/>
          <w:lang w:val="sr-Cyrl-RS"/>
        </w:rPr>
        <w:t xml:space="preserve">лобалног договора о правима избеглица у 2018. </w:t>
      </w:r>
      <w:r w:rsidR="0075013B">
        <w:rPr>
          <w:color w:val="222222"/>
          <w:lang w:val="sr-Cyrl-RS"/>
        </w:rPr>
        <w:t>години.</w:t>
      </w:r>
    </w:p>
    <w:p w:rsidR="00AA6A33" w:rsidRPr="00A144BD" w:rsidRDefault="0075013B" w:rsidP="00734ADB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Усвајањем Декларације</w:t>
      </w:r>
      <w:r w:rsidR="000D4934" w:rsidRPr="00803B36">
        <w:rPr>
          <w:color w:val="222222"/>
          <w:lang w:val="sr-Cyrl-RS"/>
        </w:rPr>
        <w:t xml:space="preserve"> земље се придржавају принципа заштите људских права и миграната бе</w:t>
      </w:r>
      <w:r>
        <w:rPr>
          <w:color w:val="222222"/>
          <w:lang w:val="sr-Cyrl-RS"/>
        </w:rPr>
        <w:t>з обзира на њихов правни статус:</w:t>
      </w:r>
      <w:r w:rsidR="000D4934"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заштита</w:t>
      </w:r>
      <w:r w:rsidR="000D4934" w:rsidRPr="00803B36">
        <w:rPr>
          <w:color w:val="222222"/>
          <w:lang w:val="sr-Cyrl-RS"/>
        </w:rPr>
        <w:t xml:space="preserve"> неколи</w:t>
      </w:r>
      <w:r>
        <w:rPr>
          <w:color w:val="222222"/>
          <w:lang w:val="sr-Cyrl-RS"/>
        </w:rPr>
        <w:t>ко месеци од доласка, спречавање</w:t>
      </w:r>
      <w:r w:rsidR="000D4934" w:rsidRPr="00803B36">
        <w:rPr>
          <w:color w:val="222222"/>
          <w:lang w:val="sr-Cyrl-RS"/>
        </w:rPr>
        <w:t xml:space="preserve"> и к</w:t>
      </w:r>
      <w:r>
        <w:rPr>
          <w:color w:val="222222"/>
          <w:lang w:val="sr-Cyrl-RS"/>
        </w:rPr>
        <w:t>ажњавање</w:t>
      </w:r>
      <w:r w:rsidR="000D4934" w:rsidRPr="00803B36">
        <w:rPr>
          <w:color w:val="222222"/>
          <w:lang w:val="sr-Cyrl-RS"/>
        </w:rPr>
        <w:t xml:space="preserve"> сексуалног и </w:t>
      </w:r>
      <w:r>
        <w:rPr>
          <w:color w:val="222222"/>
          <w:lang w:val="sr-Cyrl-RS"/>
        </w:rPr>
        <w:t>родно заснованог насиља, подршка</w:t>
      </w:r>
      <w:r w:rsidR="000D4934" w:rsidRPr="00803B36">
        <w:rPr>
          <w:color w:val="222222"/>
          <w:lang w:val="sr-Cyrl-RS"/>
        </w:rPr>
        <w:t xml:space="preserve"> земљама које су домаћин</w:t>
      </w:r>
      <w:r>
        <w:rPr>
          <w:color w:val="222222"/>
          <w:lang w:val="sr-Cyrl-RS"/>
        </w:rPr>
        <w:t>и</w:t>
      </w:r>
      <w:r w:rsidR="000D4934" w:rsidRPr="00803B36">
        <w:rPr>
          <w:color w:val="222222"/>
          <w:lang w:val="sr-Cyrl-RS"/>
        </w:rPr>
        <w:t xml:space="preserve"> за највећи број избеглица</w:t>
      </w:r>
      <w:r>
        <w:rPr>
          <w:color w:val="222222"/>
          <w:lang w:val="sr-Cyrl-RS"/>
        </w:rPr>
        <w:t xml:space="preserve">. </w:t>
      </w:r>
      <w:r w:rsidR="000D4934" w:rsidRPr="00803B36">
        <w:rPr>
          <w:color w:val="222222"/>
          <w:lang w:val="sr-Cyrl-RS"/>
        </w:rPr>
        <w:t>Такође</w:t>
      </w:r>
      <w:r>
        <w:rPr>
          <w:color w:val="222222"/>
          <w:lang w:val="sr-Cyrl-RS"/>
        </w:rPr>
        <w:t>,</w:t>
      </w:r>
      <w:r w:rsidR="000D4934" w:rsidRPr="00803B36">
        <w:rPr>
          <w:color w:val="222222"/>
          <w:lang w:val="sr-Cyrl-RS"/>
        </w:rPr>
        <w:t xml:space="preserve"> и</w:t>
      </w:r>
      <w:r w:rsidR="00D06BB4">
        <w:rPr>
          <w:color w:val="222222"/>
          <w:lang w:val="sr-Cyrl-RS"/>
        </w:rPr>
        <w:t>стиче се позитиван допринос који</w:t>
      </w:r>
      <w:r w:rsidR="000D4934" w:rsidRPr="00803B36">
        <w:rPr>
          <w:color w:val="222222"/>
          <w:lang w:val="sr-Cyrl-RS"/>
        </w:rPr>
        <w:t xml:space="preserve">  мигранти </w:t>
      </w:r>
      <w:r>
        <w:rPr>
          <w:color w:val="222222"/>
          <w:lang w:val="sr-Cyrl-RS"/>
        </w:rPr>
        <w:t xml:space="preserve">могу дати </w:t>
      </w:r>
      <w:r w:rsidR="000D4934" w:rsidRPr="00803B36">
        <w:rPr>
          <w:color w:val="222222"/>
          <w:lang w:val="sr-Cyrl-RS"/>
        </w:rPr>
        <w:t xml:space="preserve">економском и друштвеном развоју земаља у којима живе и раде и потреба за </w:t>
      </w:r>
      <w:r>
        <w:rPr>
          <w:color w:val="222222"/>
          <w:lang w:val="sr-Cyrl-RS"/>
        </w:rPr>
        <w:t xml:space="preserve">јачањем </w:t>
      </w:r>
      <w:r w:rsidR="000D4934" w:rsidRPr="00803B36">
        <w:rPr>
          <w:color w:val="222222"/>
          <w:lang w:val="sr-Cyrl-RS"/>
        </w:rPr>
        <w:t xml:space="preserve"> хуманитарне помоћи и финансијске подршке земљама које су највише погођене.</w:t>
      </w:r>
      <w:r w:rsidR="00663941">
        <w:rPr>
          <w:color w:val="222222"/>
          <w:lang w:val="sr-Cyrl-RS"/>
        </w:rPr>
        <w:t xml:space="preserve"> Забрињавајући су подаци </w:t>
      </w:r>
      <w:r w:rsidR="00663941" w:rsidRPr="00663941">
        <w:rPr>
          <w:lang w:val="sr-Cyrl-RS"/>
        </w:rPr>
        <w:t>Међународне организације за миграције</w:t>
      </w:r>
      <w:r w:rsidR="00663941">
        <w:rPr>
          <w:rStyle w:val="FootnoteReference"/>
        </w:rPr>
        <w:footnoteReference w:id="5"/>
      </w:r>
      <w:r w:rsidR="00663941">
        <w:rPr>
          <w:color w:val="222222"/>
          <w:lang w:val="sr-Latn-RS"/>
        </w:rPr>
        <w:t xml:space="preserve"> </w:t>
      </w:r>
      <w:r w:rsidR="00663941">
        <w:rPr>
          <w:color w:val="222222"/>
          <w:lang w:val="sr-Cyrl-RS"/>
        </w:rPr>
        <w:t xml:space="preserve">о </w:t>
      </w:r>
      <w:r w:rsidR="005F05F3">
        <w:rPr>
          <w:color w:val="222222"/>
          <w:lang w:val="sr-Cyrl-RS"/>
        </w:rPr>
        <w:t>б</w:t>
      </w:r>
      <w:r w:rsidR="005F05F3">
        <w:rPr>
          <w:color w:val="222222"/>
          <w:lang w:val="sr-Latn-RS"/>
        </w:rPr>
        <w:t>рој</w:t>
      </w:r>
      <w:r w:rsidR="005F05F3">
        <w:rPr>
          <w:color w:val="222222"/>
          <w:lang w:val="sr-Cyrl-RS"/>
        </w:rPr>
        <w:t>у</w:t>
      </w:r>
      <w:r w:rsidR="005F05F3">
        <w:rPr>
          <w:color w:val="222222"/>
          <w:lang w:val="sr-Latn-RS"/>
        </w:rPr>
        <w:t xml:space="preserve"> захтева за азил у свету </w:t>
      </w:r>
      <w:r w:rsidR="005F05F3">
        <w:rPr>
          <w:color w:val="222222"/>
          <w:lang w:val="sr-Cyrl-RS"/>
        </w:rPr>
        <w:t>који је</w:t>
      </w:r>
      <w:r w:rsidR="005F05F3">
        <w:rPr>
          <w:color w:val="222222"/>
          <w:lang w:val="sr-Latn-RS"/>
        </w:rPr>
        <w:t xml:space="preserve"> удвоструч</w:t>
      </w:r>
      <w:r w:rsidR="005F05F3">
        <w:rPr>
          <w:color w:val="222222"/>
          <w:lang w:val="sr-Cyrl-RS"/>
        </w:rPr>
        <w:t>ен</w:t>
      </w:r>
      <w:r w:rsidR="005F05F3">
        <w:rPr>
          <w:color w:val="222222"/>
          <w:lang w:val="sr-Latn-RS"/>
        </w:rPr>
        <w:t xml:space="preserve"> </w:t>
      </w:r>
      <w:r w:rsidR="005F05F3">
        <w:rPr>
          <w:color w:val="222222"/>
          <w:lang w:val="sr-Cyrl-RS"/>
        </w:rPr>
        <w:t>од</w:t>
      </w:r>
      <w:r w:rsidR="005F05F3">
        <w:rPr>
          <w:color w:val="222222"/>
          <w:lang w:val="sr-Latn-RS"/>
        </w:rPr>
        <w:t xml:space="preserve"> краја 2014. </w:t>
      </w:r>
      <w:r w:rsidR="005F05F3">
        <w:rPr>
          <w:color w:val="222222"/>
          <w:lang w:val="sr-Cyrl-RS"/>
        </w:rPr>
        <w:t xml:space="preserve">до </w:t>
      </w:r>
      <w:r w:rsidR="005F05F3">
        <w:rPr>
          <w:color w:val="222222"/>
          <w:lang w:val="sr-Latn-RS"/>
        </w:rPr>
        <w:t xml:space="preserve">прве половине 2015. </w:t>
      </w:r>
      <w:r w:rsidR="005F05F3">
        <w:rPr>
          <w:color w:val="222222"/>
          <w:lang w:val="sr-Cyrl-RS"/>
        </w:rPr>
        <w:t>г</w:t>
      </w:r>
      <w:r w:rsidR="005F05F3">
        <w:rPr>
          <w:color w:val="222222"/>
          <w:lang w:val="sr-Latn-RS"/>
        </w:rPr>
        <w:t>одине</w:t>
      </w:r>
      <w:r w:rsidR="005F05F3">
        <w:rPr>
          <w:color w:val="222222"/>
          <w:lang w:val="sr-Cyrl-RS"/>
        </w:rPr>
        <w:t xml:space="preserve"> и</w:t>
      </w:r>
      <w:r w:rsidR="005F05F3">
        <w:rPr>
          <w:color w:val="222222"/>
          <w:lang w:val="sr-Latn-RS"/>
        </w:rPr>
        <w:t xml:space="preserve"> да</w:t>
      </w:r>
      <w:r w:rsidR="005F05F3">
        <w:rPr>
          <w:color w:val="222222"/>
          <w:lang w:val="sr-Cyrl-RS"/>
        </w:rPr>
        <w:t>ље</w:t>
      </w:r>
      <w:r w:rsidR="005F05F3">
        <w:rPr>
          <w:color w:val="222222"/>
          <w:lang w:val="sr-Latn-RS"/>
        </w:rPr>
        <w:t xml:space="preserve"> расте </w:t>
      </w:r>
      <w:r w:rsidR="005F05F3">
        <w:rPr>
          <w:color w:val="222222"/>
          <w:lang w:val="sr-Cyrl-RS"/>
        </w:rPr>
        <w:t>на</w:t>
      </w:r>
      <w:r w:rsidR="005F05F3">
        <w:rPr>
          <w:color w:val="222222"/>
          <w:lang w:val="sr-Latn-RS"/>
        </w:rPr>
        <w:t xml:space="preserve"> око 3,2 милион</w:t>
      </w:r>
      <w:r w:rsidR="00D613F9">
        <w:rPr>
          <w:color w:val="222222"/>
          <w:lang w:val="sr-Latn-RS"/>
        </w:rPr>
        <w:t>a</w:t>
      </w:r>
      <w:r w:rsidR="005F05F3">
        <w:rPr>
          <w:color w:val="222222"/>
          <w:lang w:val="sr-Latn-RS"/>
        </w:rPr>
        <w:t xml:space="preserve"> чекањ</w:t>
      </w:r>
      <w:r w:rsidR="005F05F3">
        <w:rPr>
          <w:color w:val="222222"/>
          <w:lang w:val="sr-Cyrl-RS"/>
        </w:rPr>
        <w:t>а на</w:t>
      </w:r>
      <w:r w:rsidR="005F05F3">
        <w:rPr>
          <w:color w:val="222222"/>
          <w:lang w:val="sr-Latn-RS"/>
        </w:rPr>
        <w:t xml:space="preserve"> азил </w:t>
      </w:r>
      <w:r w:rsidR="005F05F3">
        <w:rPr>
          <w:color w:val="222222"/>
          <w:lang w:val="sr-Cyrl-RS"/>
        </w:rPr>
        <w:t>(</w:t>
      </w:r>
      <w:r w:rsidR="005F05F3">
        <w:rPr>
          <w:color w:val="222222"/>
          <w:lang w:val="sr-Latn-RS"/>
        </w:rPr>
        <w:t xml:space="preserve">крај 2015. </w:t>
      </w:r>
      <w:r w:rsidR="005F05F3">
        <w:rPr>
          <w:color w:val="222222"/>
          <w:lang w:val="sr-Cyrl-RS"/>
        </w:rPr>
        <w:t>г</w:t>
      </w:r>
      <w:r w:rsidR="005F05F3">
        <w:rPr>
          <w:color w:val="222222"/>
          <w:lang w:val="sr-Latn-RS"/>
        </w:rPr>
        <w:t>одине</w:t>
      </w:r>
      <w:r w:rsidR="005F05F3">
        <w:rPr>
          <w:color w:val="222222"/>
          <w:lang w:val="sr-Cyrl-RS"/>
        </w:rPr>
        <w:t xml:space="preserve">) на </w:t>
      </w:r>
      <w:r w:rsidR="005F05F3">
        <w:rPr>
          <w:color w:val="222222"/>
          <w:lang w:val="sr-Latn-RS"/>
        </w:rPr>
        <w:t>глобално</w:t>
      </w:r>
      <w:r w:rsidR="005F05F3">
        <w:rPr>
          <w:color w:val="222222"/>
          <w:lang w:val="sr-Cyrl-RS"/>
        </w:rPr>
        <w:t>м нивоу</w:t>
      </w:r>
      <w:r w:rsidR="005F05F3">
        <w:rPr>
          <w:color w:val="222222"/>
          <w:lang w:val="sr-Latn-RS"/>
        </w:rPr>
        <w:t>.</w:t>
      </w:r>
      <w:r w:rsidR="005F05F3">
        <w:rPr>
          <w:color w:val="222222"/>
          <w:lang w:val="sr-Cyrl-RS"/>
        </w:rPr>
        <w:t xml:space="preserve"> </w:t>
      </w:r>
      <w:r w:rsidR="00663941">
        <w:rPr>
          <w:color w:val="222222"/>
          <w:lang w:val="sr-Latn-RS"/>
        </w:rPr>
        <w:t xml:space="preserve">Повећање у 2015. је углавном због </w:t>
      </w:r>
      <w:r w:rsidR="00663941">
        <w:rPr>
          <w:color w:val="222222"/>
          <w:lang w:val="sr-Cyrl-RS"/>
        </w:rPr>
        <w:t>великог</w:t>
      </w:r>
      <w:r w:rsidR="00663941">
        <w:rPr>
          <w:color w:val="222222"/>
          <w:lang w:val="sr-Latn-RS"/>
        </w:rPr>
        <w:t xml:space="preserve"> броја захтева за азил Сиријаца, Авганистанаца и Ирачана.</w:t>
      </w:r>
      <w:r w:rsidR="00AA6A33">
        <w:rPr>
          <w:color w:val="222222"/>
          <w:lang w:val="sr-Cyrl-RS"/>
        </w:rPr>
        <w:t xml:space="preserve"> </w:t>
      </w:r>
      <w:r w:rsidR="00E24339">
        <w:rPr>
          <w:color w:val="222222"/>
          <w:lang w:val="sr-Cyrl-RS"/>
        </w:rPr>
        <w:t xml:space="preserve">Детаљнија анализа </w:t>
      </w:r>
      <w:r w:rsidR="00AA6A33">
        <w:rPr>
          <w:color w:val="222222"/>
          <w:lang w:val="sr-Cyrl-RS"/>
        </w:rPr>
        <w:t xml:space="preserve">урађена је </w:t>
      </w:r>
      <w:r w:rsidR="00E24339">
        <w:rPr>
          <w:color w:val="222222"/>
          <w:lang w:val="sr-Cyrl-RS"/>
        </w:rPr>
        <w:t>у наставку истраживања.</w:t>
      </w:r>
    </w:p>
    <w:p w:rsidR="00734ADB" w:rsidRDefault="00734ADB" w:rsidP="00A144BD">
      <w:pPr>
        <w:pStyle w:val="Heading1"/>
        <w:rPr>
          <w:lang w:val="sr-Cyrl-RS"/>
        </w:rPr>
      </w:pPr>
      <w:bookmarkStart w:id="4" w:name="_Toc468797342"/>
      <w:r>
        <w:rPr>
          <w:lang w:val="sr-Cyrl-RS"/>
        </w:rPr>
        <w:t>Политика</w:t>
      </w:r>
      <w:r w:rsidRPr="00E516B1">
        <w:rPr>
          <w:lang w:val="sr-Cyrl-RS"/>
        </w:rPr>
        <w:t xml:space="preserve"> управљања миграцијама</w:t>
      </w:r>
      <w:bookmarkEnd w:id="4"/>
      <w:r>
        <w:rPr>
          <w:lang w:val="sr-Cyrl-RS"/>
        </w:rPr>
        <w:t xml:space="preserve"> </w:t>
      </w:r>
    </w:p>
    <w:p w:rsidR="00734ADB" w:rsidRPr="00E516B1" w:rsidRDefault="00734ADB" w:rsidP="00734AD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lang w:val="sr-Cyrl-RS"/>
        </w:rPr>
      </w:pPr>
    </w:p>
    <w:p w:rsidR="007E5CC9" w:rsidRPr="007E51D1" w:rsidRDefault="00734ADB" w:rsidP="007E5CC9">
      <w:pPr>
        <w:spacing w:line="360" w:lineRule="auto"/>
        <w:jc w:val="both"/>
        <w:rPr>
          <w:lang w:val="sr-Cyrl-RS"/>
        </w:rPr>
      </w:pPr>
      <w:r w:rsidRPr="00E516B1">
        <w:rPr>
          <w:lang w:val="sr-Cyrl-RS"/>
        </w:rPr>
        <w:t>Последњих деценија политике управљања миграцијама постају важна област</w:t>
      </w:r>
      <w:r>
        <w:rPr>
          <w:lang w:val="sr-Cyrl-RS"/>
        </w:rPr>
        <w:t xml:space="preserve"> </w:t>
      </w:r>
      <w:r w:rsidRPr="00E516B1">
        <w:rPr>
          <w:lang w:val="sr-Cyrl-RS"/>
        </w:rPr>
        <w:t>јавних политика на националном и међународном нивоу. Све сложенији и детаљнији</w:t>
      </w:r>
      <w:r>
        <w:rPr>
          <w:lang w:val="sr-Cyrl-RS"/>
        </w:rPr>
        <w:t xml:space="preserve"> </w:t>
      </w:r>
      <w:r w:rsidRPr="00E516B1">
        <w:rPr>
          <w:lang w:val="sr-Cyrl-RS"/>
        </w:rPr>
        <w:t>прописи, све бројније институције и политике обележавају настојања да се управља</w:t>
      </w:r>
      <w:r>
        <w:rPr>
          <w:lang w:val="sr-Cyrl-RS"/>
        </w:rPr>
        <w:t xml:space="preserve"> </w:t>
      </w:r>
      <w:r w:rsidR="00D06BB4">
        <w:rPr>
          <w:lang w:val="sr-Cyrl-RS"/>
        </w:rPr>
        <w:t>миграцијама на</w:t>
      </w:r>
      <w:r w:rsidRPr="00E516B1">
        <w:rPr>
          <w:lang w:val="sr-Cyrl-RS"/>
        </w:rPr>
        <w:t xml:space="preserve"> ефикаснији начин, како оним жељеним и регуларним, тако и</w:t>
      </w:r>
      <w:r>
        <w:rPr>
          <w:lang w:val="sr-Cyrl-RS"/>
        </w:rPr>
        <w:t xml:space="preserve"> </w:t>
      </w:r>
      <w:r w:rsidRPr="00E516B1">
        <w:rPr>
          <w:lang w:val="sr-Cyrl-RS"/>
        </w:rPr>
        <w:t>оним нерегуларним.</w:t>
      </w:r>
      <w:r w:rsidR="007E5CC9">
        <w:rPr>
          <w:lang w:val="sr-Cyrl-RS"/>
        </w:rPr>
        <w:t xml:space="preserve"> </w:t>
      </w:r>
      <w:r w:rsidR="00D06BB4">
        <w:rPr>
          <w:lang w:val="sr-Cyrl-RS"/>
        </w:rPr>
        <w:t xml:space="preserve">Према подацима </w:t>
      </w:r>
      <w:r w:rsidR="00D06BB4">
        <w:t>FRONTEX</w:t>
      </w:r>
      <w:r w:rsidR="007E5CC9" w:rsidRPr="007E51D1">
        <w:rPr>
          <w:rStyle w:val="FootnoteReference"/>
          <w:lang w:val="sr-Cyrl-RS"/>
        </w:rPr>
        <w:footnoteReference w:id="6"/>
      </w:r>
      <w:r w:rsidR="007E5CC9" w:rsidRPr="007E51D1">
        <w:rPr>
          <w:lang w:val="sr-Cyrl-RS"/>
        </w:rPr>
        <w:t xml:space="preserve">, </w:t>
      </w:r>
      <w:r w:rsidR="00200B4E" w:rsidRPr="00200B4E">
        <w:rPr>
          <w:lang w:val="sr-Cyrl-RS"/>
        </w:rPr>
        <w:t xml:space="preserve">Европске агенција за управљање оперативном сарадњом на спољним границама </w:t>
      </w:r>
      <w:r w:rsidR="007E5CC9" w:rsidRPr="007E51D1">
        <w:rPr>
          <w:lang w:val="sr-Cyrl-RS"/>
        </w:rPr>
        <w:t>држава чланица Еуропске уније</w:t>
      </w:r>
      <w:r w:rsidR="00200B4E" w:rsidRPr="00200B4E">
        <w:rPr>
          <w:lang w:val="ru-RU"/>
        </w:rPr>
        <w:t>,</w:t>
      </w:r>
      <w:r w:rsidR="007E5CC9" w:rsidRPr="007E51D1">
        <w:rPr>
          <w:lang w:val="sr-Cyrl-RS"/>
        </w:rPr>
        <w:t xml:space="preserve"> миграционе </w:t>
      </w:r>
      <w:r w:rsidR="007E5CC9">
        <w:rPr>
          <w:lang w:val="sr-Cyrl-RS"/>
        </w:rPr>
        <w:t>путање</w:t>
      </w:r>
      <w:r w:rsidR="007E5CC9" w:rsidRPr="007E51D1">
        <w:rPr>
          <w:lang w:val="sr-Cyrl-RS"/>
        </w:rPr>
        <w:t xml:space="preserve"> су</w:t>
      </w:r>
      <w:r w:rsidR="00200B4E">
        <w:rPr>
          <w:lang w:val="sr-Cyrl-RS"/>
        </w:rPr>
        <w:t>: западна афричка, з</w:t>
      </w:r>
      <w:r w:rsidR="007E5CC9" w:rsidRPr="007E51D1">
        <w:rPr>
          <w:lang w:val="sr-Cyrl-RS"/>
        </w:rPr>
        <w:t xml:space="preserve">ападна </w:t>
      </w:r>
      <w:r w:rsidR="00200B4E">
        <w:rPr>
          <w:lang w:val="sr-Cyrl-RS"/>
        </w:rPr>
        <w:t>медитеранска, централна м</w:t>
      </w:r>
      <w:r w:rsidR="007E5CC9" w:rsidRPr="007E51D1">
        <w:rPr>
          <w:lang w:val="sr-Cyrl-RS"/>
        </w:rPr>
        <w:t xml:space="preserve">едитеранска, Апулиа и Калабрија </w:t>
      </w:r>
      <w:r w:rsidR="007E5CC9">
        <w:rPr>
          <w:lang w:val="sr-Cyrl-RS"/>
        </w:rPr>
        <w:t>путања</w:t>
      </w:r>
      <w:r w:rsidR="007E5CC9" w:rsidRPr="007E51D1">
        <w:rPr>
          <w:lang w:val="sr-Cyrl-RS"/>
        </w:rPr>
        <w:t xml:space="preserve">, </w:t>
      </w:r>
      <w:r w:rsidR="00200B4E">
        <w:rPr>
          <w:lang w:val="sr-Cyrl-RS"/>
        </w:rPr>
        <w:t>п</w:t>
      </w:r>
      <w:r w:rsidR="007E5CC9">
        <w:rPr>
          <w:lang w:val="sr-Cyrl-RS"/>
        </w:rPr>
        <w:t>утања</w:t>
      </w:r>
      <w:r w:rsidR="00200B4E">
        <w:rPr>
          <w:lang w:val="sr-Cyrl-RS"/>
        </w:rPr>
        <w:t xml:space="preserve"> између Албаније и Грчке, западно б</w:t>
      </w:r>
      <w:r w:rsidR="007E5CC9" w:rsidRPr="007E51D1">
        <w:rPr>
          <w:lang w:val="sr-Cyrl-RS"/>
        </w:rPr>
        <w:t xml:space="preserve">алканска </w:t>
      </w:r>
      <w:r w:rsidR="007E5CC9">
        <w:rPr>
          <w:lang w:val="sr-Cyrl-RS"/>
        </w:rPr>
        <w:t>путања</w:t>
      </w:r>
      <w:r w:rsidR="00200B4E">
        <w:rPr>
          <w:lang w:val="sr-Cyrl-RS"/>
        </w:rPr>
        <w:t>, источна м</w:t>
      </w:r>
      <w:r w:rsidR="007E5CC9" w:rsidRPr="007E51D1">
        <w:rPr>
          <w:lang w:val="sr-Cyrl-RS"/>
        </w:rPr>
        <w:t xml:space="preserve">едитеранска и </w:t>
      </w:r>
      <w:r w:rsidR="00200B4E">
        <w:rPr>
          <w:lang w:val="sr-Cyrl-RS"/>
        </w:rPr>
        <w:t>п</w:t>
      </w:r>
      <w:r w:rsidR="007E5CC9">
        <w:rPr>
          <w:lang w:val="sr-Cyrl-RS"/>
        </w:rPr>
        <w:t>утања</w:t>
      </w:r>
      <w:r w:rsidR="007E5CC9" w:rsidRPr="007E51D1">
        <w:rPr>
          <w:lang w:val="sr-Cyrl-RS"/>
        </w:rPr>
        <w:t xml:space="preserve"> источних граница</w:t>
      </w:r>
      <w:r w:rsidR="00887C72">
        <w:rPr>
          <w:lang w:val="sr-Cyrl-RS"/>
        </w:rPr>
        <w:t>.</w:t>
      </w:r>
    </w:p>
    <w:p w:rsidR="00200B4E" w:rsidRDefault="00AA6A33" w:rsidP="00200B4E">
      <w:pPr>
        <w:spacing w:after="0" w:line="36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sr-Cyrl-RS"/>
        </w:rPr>
        <w:t>Током</w:t>
      </w:r>
      <w:r w:rsidR="007E5CC9" w:rsidRPr="007E51D1">
        <w:rPr>
          <w:rFonts w:eastAsia="Times New Roman"/>
          <w:lang w:val="sr-Cyrl-RS"/>
        </w:rPr>
        <w:t xml:space="preserve"> 2014. години број миграната који су преко Медитерана ушли у Европску унију је знатно повећа</w:t>
      </w:r>
      <w:r w:rsidR="0075013B">
        <w:rPr>
          <w:rFonts w:eastAsia="Times New Roman"/>
          <w:lang w:val="sr-Cyrl-RS"/>
        </w:rPr>
        <w:t>н у однос</w:t>
      </w:r>
      <w:r w:rsidR="00200B4E">
        <w:rPr>
          <w:rFonts w:eastAsia="Times New Roman"/>
          <w:lang w:val="sr-Cyrl-RS"/>
        </w:rPr>
        <w:t>у на претходне године. Западно м</w:t>
      </w:r>
      <w:r w:rsidR="0075013B">
        <w:rPr>
          <w:rFonts w:eastAsia="Times New Roman"/>
          <w:lang w:val="sr-Cyrl-RS"/>
        </w:rPr>
        <w:t>едитеранским путем у</w:t>
      </w:r>
      <w:r w:rsidR="007E5CC9" w:rsidRPr="007E51D1">
        <w:rPr>
          <w:rFonts w:eastAsia="Times New Roman"/>
          <w:lang w:val="sr-Cyrl-RS"/>
        </w:rPr>
        <w:t xml:space="preserve">шло </w:t>
      </w:r>
      <w:r w:rsidR="00B4174A">
        <w:rPr>
          <w:rFonts w:eastAsia="Times New Roman"/>
          <w:lang w:val="sr-Cyrl-RS"/>
        </w:rPr>
        <w:t xml:space="preserve">је </w:t>
      </w:r>
      <w:r w:rsidR="007E5CC9" w:rsidRPr="007E51D1">
        <w:rPr>
          <w:rFonts w:eastAsia="Times New Roman"/>
          <w:lang w:val="sr-Cyrl-RS"/>
        </w:rPr>
        <w:t>4.552</w:t>
      </w:r>
      <w:r w:rsidR="00B4174A">
        <w:rPr>
          <w:rFonts w:eastAsia="Times New Roman"/>
          <w:lang w:val="sr-Cyrl-RS"/>
        </w:rPr>
        <w:t xml:space="preserve"> особа</w:t>
      </w:r>
      <w:r w:rsidR="00200B4E">
        <w:rPr>
          <w:rFonts w:eastAsia="Times New Roman"/>
          <w:lang w:val="sr-Cyrl-RS"/>
        </w:rPr>
        <w:t>, преко централне медитеранске 170.669 и преко источне м</w:t>
      </w:r>
      <w:r w:rsidR="007E5CC9" w:rsidRPr="007E51D1">
        <w:rPr>
          <w:rFonts w:eastAsia="Times New Roman"/>
          <w:lang w:val="sr-Cyrl-RS"/>
        </w:rPr>
        <w:t xml:space="preserve">едитеранске </w:t>
      </w:r>
      <w:r w:rsidR="007E5CC9">
        <w:rPr>
          <w:rFonts w:eastAsia="Times New Roman"/>
          <w:lang w:val="sr-Cyrl-RS"/>
        </w:rPr>
        <w:t>путање</w:t>
      </w:r>
      <w:r w:rsidR="007E5CC9" w:rsidRPr="007E51D1">
        <w:rPr>
          <w:rFonts w:eastAsia="Times New Roman"/>
          <w:lang w:val="sr-Cyrl-RS"/>
        </w:rPr>
        <w:t xml:space="preserve"> 77.163 (копненим путем 42.721 особе, морским путем 34.442 особе). Повећање прилива миграната у </w:t>
      </w:r>
      <w:r w:rsidR="007E5CC9" w:rsidRPr="007E51D1">
        <w:rPr>
          <w:rFonts w:eastAsia="Times New Roman"/>
          <w:lang w:val="sr-Cyrl-RS"/>
        </w:rPr>
        <w:lastRenderedPageBreak/>
        <w:t xml:space="preserve">2014. години највише се </w:t>
      </w:r>
      <w:r w:rsidR="007E5CC9">
        <w:rPr>
          <w:rFonts w:eastAsia="Times New Roman"/>
          <w:lang w:val="sr-Cyrl-RS"/>
        </w:rPr>
        <w:t>прим</w:t>
      </w:r>
      <w:r w:rsidR="00200B4E">
        <w:rPr>
          <w:rFonts w:eastAsia="Times New Roman"/>
          <w:lang w:val="sr-Cyrl-RS"/>
        </w:rPr>
        <w:t>ећује на централној м</w:t>
      </w:r>
      <w:r w:rsidR="007E5CC9" w:rsidRPr="007E51D1">
        <w:rPr>
          <w:rFonts w:eastAsia="Times New Roman"/>
          <w:lang w:val="sr-Cyrl-RS"/>
        </w:rPr>
        <w:t xml:space="preserve">едитеранској </w:t>
      </w:r>
      <w:r w:rsidR="007E5CC9">
        <w:rPr>
          <w:rFonts w:eastAsia="Times New Roman"/>
          <w:lang w:val="sr-Cyrl-RS"/>
        </w:rPr>
        <w:t>путањи</w:t>
      </w:r>
      <w:r w:rsidR="00B4174A">
        <w:rPr>
          <w:rFonts w:eastAsia="Times New Roman"/>
          <w:lang w:val="sr-Cyrl-RS"/>
        </w:rPr>
        <w:t xml:space="preserve">, као и </w:t>
      </w:r>
      <w:r w:rsidR="007E5CC9" w:rsidRPr="007E51D1">
        <w:rPr>
          <w:rFonts w:eastAsia="Times New Roman"/>
          <w:lang w:val="sr-Cyrl-RS"/>
        </w:rPr>
        <w:t>на</w:t>
      </w:r>
      <w:r w:rsidR="007E5CC9">
        <w:rPr>
          <w:rFonts w:eastAsia="Times New Roman"/>
          <w:lang w:val="sr-Cyrl-RS"/>
        </w:rPr>
        <w:t xml:space="preserve"> </w:t>
      </w:r>
      <w:r w:rsidR="00200B4E">
        <w:rPr>
          <w:rFonts w:eastAsia="Times New Roman"/>
          <w:lang w:val="sr-Cyrl-RS"/>
        </w:rPr>
        <w:t>морском путу источне м</w:t>
      </w:r>
      <w:r w:rsidR="007E5CC9" w:rsidRPr="007E51D1">
        <w:rPr>
          <w:rFonts w:eastAsia="Times New Roman"/>
          <w:lang w:val="sr-Cyrl-RS"/>
        </w:rPr>
        <w:t xml:space="preserve">едитеранске </w:t>
      </w:r>
      <w:r w:rsidR="007E5CC9">
        <w:rPr>
          <w:rFonts w:eastAsia="Times New Roman"/>
          <w:lang w:val="sr-Cyrl-RS"/>
        </w:rPr>
        <w:t>путање</w:t>
      </w:r>
      <w:r w:rsidR="00887C72">
        <w:rPr>
          <w:rFonts w:eastAsia="Times New Roman"/>
          <w:lang w:val="sr-Cyrl-RS"/>
        </w:rPr>
        <w:t>.</w:t>
      </w:r>
    </w:p>
    <w:p w:rsidR="00200B4E" w:rsidRDefault="00200B4E" w:rsidP="00200B4E">
      <w:pPr>
        <w:spacing w:after="0" w:line="360" w:lineRule="auto"/>
        <w:jc w:val="both"/>
        <w:rPr>
          <w:rFonts w:eastAsia="Times New Roman"/>
          <w:lang w:val="sr-Cyrl-RS"/>
        </w:rPr>
      </w:pPr>
    </w:p>
    <w:p w:rsidR="00E20288" w:rsidRPr="00200B4E" w:rsidRDefault="00200B4E" w:rsidP="00200B4E">
      <w:pPr>
        <w:spacing w:after="0" w:line="360" w:lineRule="auto"/>
        <w:jc w:val="both"/>
        <w:rPr>
          <w:color w:val="222222"/>
          <w:lang w:val="ru-RU"/>
        </w:rPr>
      </w:pPr>
      <w:r>
        <w:rPr>
          <w:rFonts w:eastAsia="Times New Roman"/>
          <w:lang w:val="sr-Cyrl-RS"/>
        </w:rPr>
        <w:t xml:space="preserve">Подаци </w:t>
      </w:r>
      <w:r w:rsidR="007E5CC9" w:rsidRPr="007E51D1">
        <w:rPr>
          <w:rFonts w:eastAsia="Times New Roman"/>
          <w:lang w:val="sr-Cyrl-RS"/>
        </w:rPr>
        <w:t xml:space="preserve"> </w:t>
      </w:r>
      <w:r w:rsidRPr="00200B4E">
        <w:rPr>
          <w:rFonts w:eastAsia="Times New Roman"/>
          <w:lang w:val="sr-Cyrl-RS"/>
        </w:rPr>
        <w:t xml:space="preserve">Европске агенција за управљање оперативном сарадњом на спољним границама </w:t>
      </w:r>
      <w:r w:rsidR="007E5CC9" w:rsidRPr="007E51D1">
        <w:rPr>
          <w:rFonts w:eastAsia="Times New Roman"/>
          <w:lang w:val="sr-Cyrl-RS"/>
        </w:rPr>
        <w:t xml:space="preserve">показују да је </w:t>
      </w:r>
      <w:r w:rsidR="00B4174A">
        <w:rPr>
          <w:rFonts w:eastAsia="Times New Roman"/>
          <w:lang w:val="sr-Cyrl-RS"/>
        </w:rPr>
        <w:t>у првих десет м</w:t>
      </w:r>
      <w:r w:rsidR="007E5CC9" w:rsidRPr="007E51D1">
        <w:rPr>
          <w:rFonts w:eastAsia="Times New Roman"/>
          <w:lang w:val="sr-Cyrl-RS"/>
        </w:rPr>
        <w:t xml:space="preserve">есеци 2015. године број миграната знатно повећан у односу на 2014. годину нарочито </w:t>
      </w:r>
      <w:r>
        <w:rPr>
          <w:rFonts w:eastAsia="Times New Roman"/>
          <w:lang w:val="sr-Cyrl-RS"/>
        </w:rPr>
        <w:t>на морском путу источне м</w:t>
      </w:r>
      <w:r w:rsidR="007E5CC9" w:rsidRPr="007E51D1">
        <w:rPr>
          <w:rFonts w:eastAsia="Times New Roman"/>
          <w:lang w:val="sr-Cyrl-RS"/>
        </w:rPr>
        <w:t xml:space="preserve">едитеранске </w:t>
      </w:r>
      <w:r w:rsidR="007E5CC9">
        <w:rPr>
          <w:rFonts w:eastAsia="Times New Roman"/>
          <w:lang w:val="sr-Cyrl-RS"/>
        </w:rPr>
        <w:t>путање.</w:t>
      </w:r>
      <w:r w:rsidR="007E5CC9" w:rsidRPr="007E51D1">
        <w:rPr>
          <w:rFonts w:eastAsia="Times New Roman"/>
          <w:lang w:val="sr-Cyrl-RS"/>
        </w:rPr>
        <w:t xml:space="preserve"> </w:t>
      </w:r>
      <w:r w:rsidR="00E20288">
        <w:rPr>
          <w:color w:val="222222"/>
          <w:lang w:val="sr-Cyrl-RS"/>
        </w:rPr>
        <w:t xml:space="preserve">Према </w:t>
      </w:r>
      <w:r w:rsidR="00E20288" w:rsidRPr="00803B36">
        <w:rPr>
          <w:color w:val="222222"/>
          <w:lang w:val="sr-Cyrl-RS"/>
        </w:rPr>
        <w:t>подацима Европске канцеларије за подршку азилантима</w:t>
      </w:r>
      <w:r w:rsidR="00E20288">
        <w:rPr>
          <w:rStyle w:val="FootnoteReference"/>
          <w:lang w:val="sr-Cyrl-RS"/>
        </w:rPr>
        <w:footnoteReference w:id="7"/>
      </w:r>
      <w:r w:rsidR="00E20288">
        <w:rPr>
          <w:lang w:val="sr-Cyrl-RS"/>
        </w:rPr>
        <w:t xml:space="preserve"> из</w:t>
      </w:r>
      <w:r w:rsidR="00E20288">
        <w:rPr>
          <w:color w:val="222222"/>
          <w:lang w:val="sr-Cyrl-RS"/>
        </w:rPr>
        <w:t xml:space="preserve"> августа </w:t>
      </w:r>
      <w:r w:rsidR="00E20288" w:rsidRPr="00803B36">
        <w:rPr>
          <w:color w:val="222222"/>
          <w:lang w:val="sr-Cyrl-RS"/>
        </w:rPr>
        <w:t>2016, на н</w:t>
      </w:r>
      <w:r>
        <w:rPr>
          <w:color w:val="222222"/>
          <w:lang w:val="sr-Cyrl-RS"/>
        </w:rPr>
        <w:t>ивоу ЕУ земаља забележено је 137.</w:t>
      </w:r>
      <w:r w:rsidR="00E20288" w:rsidRPr="00803B36">
        <w:rPr>
          <w:color w:val="222222"/>
          <w:lang w:val="sr-Cyrl-RS"/>
        </w:rPr>
        <w:t>688 захтев</w:t>
      </w:r>
      <w:r>
        <w:rPr>
          <w:color w:val="222222"/>
          <w:lang w:val="sr-Cyrl-RS"/>
        </w:rPr>
        <w:t>а</w:t>
      </w:r>
      <w:r w:rsidR="00E20288" w:rsidRPr="00803B36">
        <w:rPr>
          <w:color w:val="222222"/>
          <w:lang w:val="sr-Cyrl-RS"/>
        </w:rPr>
        <w:t xml:space="preserve"> за међународну заштиту што представ</w:t>
      </w:r>
      <w:r w:rsidR="00E20288">
        <w:rPr>
          <w:color w:val="222222"/>
          <w:lang w:val="sr-Cyrl-RS"/>
        </w:rPr>
        <w:t>ља највећи број захтева за азил</w:t>
      </w:r>
      <w:r w:rsidR="00E20288" w:rsidRPr="00803B36">
        <w:rPr>
          <w:color w:val="222222"/>
          <w:lang w:val="sr-Cyrl-RS"/>
        </w:rPr>
        <w:t xml:space="preserve"> у једном месецу широм ЕУ земаља током 2016.</w:t>
      </w:r>
      <w:r w:rsidR="00E20288">
        <w:rPr>
          <w:color w:val="222222"/>
          <w:lang w:val="sr-Cyrl-RS"/>
        </w:rPr>
        <w:t xml:space="preserve"> г</w:t>
      </w:r>
      <w:r w:rsidR="00E20288" w:rsidRPr="00803B36">
        <w:rPr>
          <w:color w:val="222222"/>
          <w:lang w:val="sr-Cyrl-RS"/>
        </w:rPr>
        <w:t>одине. То такође значи да се за 17% повећао број захтева</w:t>
      </w:r>
      <w:r w:rsidR="00E20288">
        <w:rPr>
          <w:color w:val="222222"/>
          <w:lang w:val="sr-Cyrl-RS"/>
        </w:rPr>
        <w:t xml:space="preserve"> од јула ове године, али је за </w:t>
      </w:r>
      <w:r w:rsidR="00E20288" w:rsidRPr="00803B36">
        <w:rPr>
          <w:color w:val="222222"/>
          <w:lang w:val="sr-Cyrl-RS"/>
        </w:rPr>
        <w:t xml:space="preserve">8% мање него у августу 2015. године, </w:t>
      </w:r>
      <w:r>
        <w:rPr>
          <w:color w:val="222222"/>
          <w:lang w:val="sr-Cyrl-RS"/>
        </w:rPr>
        <w:t>када се 149.</w:t>
      </w:r>
      <w:r w:rsidR="00612763">
        <w:rPr>
          <w:color w:val="222222"/>
          <w:lang w:val="sr-Cyrl-RS"/>
        </w:rPr>
        <w:t>006 особа</w:t>
      </w:r>
      <w:r w:rsidR="00E20288" w:rsidRPr="00803B36">
        <w:rPr>
          <w:color w:val="222222"/>
          <w:lang w:val="sr-Cyrl-RS"/>
        </w:rPr>
        <w:t xml:space="preserve"> пријавило за међународну заштиту у ЕУ земљама.</w:t>
      </w:r>
      <w:r w:rsidR="00E20288">
        <w:rPr>
          <w:lang w:val="sr-Cyrl-RS"/>
        </w:rPr>
        <w:t xml:space="preserve"> </w:t>
      </w:r>
      <w:r w:rsidR="00E20288" w:rsidRPr="00803B36">
        <w:rPr>
          <w:color w:val="222222"/>
          <w:lang w:val="sr-Cyrl-RS"/>
        </w:rPr>
        <w:t xml:space="preserve">У складу са претходним месецима, 96% од свих кандидата </w:t>
      </w:r>
      <w:r w:rsidR="00E20288">
        <w:rPr>
          <w:color w:val="222222"/>
          <w:lang w:val="sr-Cyrl-RS"/>
        </w:rPr>
        <w:t>односи се на</w:t>
      </w:r>
      <w:r w:rsidR="00E20288" w:rsidRPr="00803B36">
        <w:rPr>
          <w:color w:val="222222"/>
          <w:lang w:val="sr-Cyrl-RS"/>
        </w:rPr>
        <w:t xml:space="preserve"> аплицирање по први пут</w:t>
      </w:r>
      <w:r w:rsidR="00E20288">
        <w:rPr>
          <w:rStyle w:val="FootnoteReference"/>
          <w:color w:val="222222"/>
          <w:lang w:val="sr-Cyrl-RS"/>
        </w:rPr>
        <w:footnoteReference w:id="8"/>
      </w:r>
      <w:r w:rsidR="00E20288" w:rsidRPr="00803B36">
        <w:rPr>
          <w:color w:val="222222"/>
          <w:lang w:val="sr-Cyrl-RS"/>
        </w:rPr>
        <w:t xml:space="preserve"> док се 2% свих захтева односи на захтеве малолетних лица, који су без пратње одраслих.</w:t>
      </w:r>
      <w:r w:rsidR="00E20288" w:rsidRPr="00111876">
        <w:rPr>
          <w:color w:val="222222"/>
          <w:lang w:val="ru-RU"/>
        </w:rPr>
        <w:t xml:space="preserve"> </w:t>
      </w:r>
      <w:r>
        <w:rPr>
          <w:color w:val="222222"/>
          <w:lang w:val="sr-Cyrl-RS"/>
        </w:rPr>
        <w:t xml:space="preserve">Према последњим </w:t>
      </w:r>
      <w:r>
        <w:rPr>
          <w:color w:val="222222"/>
        </w:rPr>
        <w:t>UNICEF</w:t>
      </w:r>
      <w:r w:rsidRPr="00200B4E">
        <w:rPr>
          <w:color w:val="222222"/>
          <w:lang w:val="ru-RU"/>
        </w:rPr>
        <w:t xml:space="preserve"> подацима</w:t>
      </w:r>
      <w:r w:rsidR="00E20288">
        <w:rPr>
          <w:color w:val="222222"/>
          <w:lang w:val="sr-Cyrl-RS"/>
        </w:rPr>
        <w:t xml:space="preserve"> (6.октобар 2016.)</w:t>
      </w:r>
      <w:r w:rsidR="00E20288" w:rsidRPr="00803B36">
        <w:rPr>
          <w:rStyle w:val="FootnoteReference"/>
          <w:color w:val="222222"/>
          <w:lang w:val="sr-Cyrl-RS"/>
        </w:rPr>
        <w:footnoteReference w:id="9"/>
      </w:r>
      <w:r w:rsidR="00E20288">
        <w:rPr>
          <w:color w:val="222222"/>
          <w:lang w:val="sr-Cyrl-RS"/>
        </w:rPr>
        <w:t xml:space="preserve"> током 2016. г</w:t>
      </w:r>
      <w:r w:rsidR="00E20288" w:rsidRPr="00803B36">
        <w:rPr>
          <w:color w:val="222222"/>
          <w:lang w:val="sr-Cyrl-RS"/>
        </w:rPr>
        <w:t>одине</w:t>
      </w:r>
      <w:r w:rsidR="00E20288">
        <w:rPr>
          <w:color w:val="222222"/>
          <w:lang w:val="sr-Latn-RS"/>
        </w:rPr>
        <w:t xml:space="preserve"> </w:t>
      </w:r>
      <w:r w:rsidR="00E20288" w:rsidRPr="00803B36">
        <w:rPr>
          <w:color w:val="222222"/>
          <w:lang w:val="sr-Cyrl-RS"/>
        </w:rPr>
        <w:t>више од</w:t>
      </w:r>
      <w:r w:rsidR="00E20288">
        <w:rPr>
          <w:color w:val="222222"/>
          <w:lang w:val="sr-Cyrl-RS"/>
        </w:rPr>
        <w:t xml:space="preserve"> 241</w:t>
      </w:r>
      <w:r>
        <w:rPr>
          <w:color w:val="222222"/>
          <w:lang w:val="sr-Latn-RS"/>
        </w:rPr>
        <w:t>.</w:t>
      </w:r>
      <w:r w:rsidR="00E20288" w:rsidRPr="00803B36">
        <w:rPr>
          <w:color w:val="222222"/>
          <w:lang w:val="sr-Cyrl-RS"/>
        </w:rPr>
        <w:t xml:space="preserve">930 избеглица и миграната су </w:t>
      </w:r>
      <w:r w:rsidR="00A4728A">
        <w:rPr>
          <w:color w:val="222222"/>
          <w:lang w:val="sr-Cyrl-RS"/>
        </w:rPr>
        <w:t xml:space="preserve">деца која траже азил у Европи. </w:t>
      </w:r>
      <w:r w:rsidR="00E20288" w:rsidRPr="00803B36">
        <w:rPr>
          <w:color w:val="222222"/>
          <w:lang w:val="sr-Cyrl-RS"/>
        </w:rPr>
        <w:t>То је т</w:t>
      </w:r>
      <w:r w:rsidR="00E20288">
        <w:rPr>
          <w:color w:val="222222"/>
          <w:lang w:val="sr-Cyrl-RS"/>
        </w:rPr>
        <w:t>ри пута већи број од броја деце</w:t>
      </w:r>
      <w:r w:rsidR="00E20288" w:rsidRPr="00803B36">
        <w:rPr>
          <w:color w:val="222222"/>
          <w:lang w:val="sr-Cyrl-RS"/>
        </w:rPr>
        <w:t xml:space="preserve"> </w:t>
      </w:r>
      <w:r w:rsidR="00E20288">
        <w:rPr>
          <w:color w:val="222222"/>
          <w:lang w:val="sr-Cyrl-RS"/>
        </w:rPr>
        <w:t>која су стигла</w:t>
      </w:r>
      <w:r w:rsidR="00E20288" w:rsidRPr="00803B36">
        <w:rPr>
          <w:color w:val="222222"/>
          <w:lang w:val="sr-Cyrl-RS"/>
        </w:rPr>
        <w:t xml:space="preserve"> мо</w:t>
      </w:r>
      <w:r>
        <w:rPr>
          <w:color w:val="222222"/>
          <w:lang w:val="sr-Cyrl-RS"/>
        </w:rPr>
        <w:t>рским путем из Грчке и Италије.</w:t>
      </w:r>
      <w:r w:rsidR="00E20288">
        <w:rPr>
          <w:color w:val="222222"/>
          <w:lang w:val="sr-Cyrl-RS"/>
        </w:rPr>
        <w:t xml:space="preserve"> Само у септембру 2016. године,  2</w:t>
      </w:r>
      <w:r>
        <w:rPr>
          <w:color w:val="222222"/>
          <w:lang w:val="sr-Latn-RS"/>
        </w:rPr>
        <w:t>.</w:t>
      </w:r>
      <w:r w:rsidR="00E20288" w:rsidRPr="00803B36">
        <w:rPr>
          <w:color w:val="222222"/>
          <w:lang w:val="sr-Cyrl-RS"/>
        </w:rPr>
        <w:t>400 деце користило је п</w:t>
      </w:r>
      <w:r w:rsidR="00E20288">
        <w:rPr>
          <w:color w:val="222222"/>
          <w:lang w:val="sr-Cyrl-RS"/>
        </w:rPr>
        <w:t>сихолошку и друге облике подршке</w:t>
      </w:r>
      <w:r w:rsidR="00E20288" w:rsidRPr="00803B36">
        <w:rPr>
          <w:color w:val="222222"/>
          <w:lang w:val="sr-Cyrl-RS"/>
        </w:rPr>
        <w:t xml:space="preserve">, </w:t>
      </w:r>
      <w:r w:rsidR="00E20288">
        <w:rPr>
          <w:color w:val="222222"/>
          <w:lang w:val="sr-Cyrl-RS"/>
        </w:rPr>
        <w:t>наводе представници</w:t>
      </w:r>
      <w:r w:rsidRPr="00200B4E">
        <w:rPr>
          <w:color w:val="222222"/>
          <w:lang w:val="ru-RU"/>
        </w:rPr>
        <w:t xml:space="preserve"> UNICEF</w:t>
      </w:r>
      <w:r>
        <w:rPr>
          <w:color w:val="222222"/>
          <w:lang w:val="sr-Cyrl-RS"/>
        </w:rPr>
        <w:t xml:space="preserve"> </w:t>
      </w:r>
      <w:r w:rsidR="00612763">
        <w:rPr>
          <w:color w:val="222222"/>
          <w:lang w:val="sr-Cyrl-RS"/>
        </w:rPr>
        <w:t xml:space="preserve"> (</w:t>
      </w:r>
      <w:r w:rsidR="00A4728A">
        <w:rPr>
          <w:color w:val="222222"/>
          <w:lang w:val="sr-Cyrl-RS"/>
        </w:rPr>
        <w:t>током прошле године</w:t>
      </w:r>
      <w:r w:rsidR="00E20288" w:rsidRPr="00803B36">
        <w:rPr>
          <w:color w:val="222222"/>
          <w:lang w:val="sr-Cyrl-RS"/>
        </w:rPr>
        <w:t xml:space="preserve"> </w:t>
      </w:r>
      <w:r w:rsidR="00E20288">
        <w:rPr>
          <w:lang w:val="sr-Cyrl-RS"/>
        </w:rPr>
        <w:t>86</w:t>
      </w:r>
      <w:r>
        <w:rPr>
          <w:lang w:val="sr-Latn-RS"/>
        </w:rPr>
        <w:t>.</w:t>
      </w:r>
      <w:r w:rsidR="00E20288" w:rsidRPr="00803B36">
        <w:rPr>
          <w:lang w:val="sr-Cyrl-RS"/>
        </w:rPr>
        <w:t>772</w:t>
      </w:r>
      <w:r w:rsidR="00A4728A">
        <w:rPr>
          <w:lang w:val="sr-Cyrl-RS"/>
        </w:rPr>
        <w:t xml:space="preserve"> деце</w:t>
      </w:r>
      <w:r w:rsidR="00612763">
        <w:rPr>
          <w:lang w:val="sr-Cyrl-RS"/>
        </w:rPr>
        <w:t>)</w:t>
      </w:r>
      <w:r w:rsidR="00E20288" w:rsidRPr="00803B36">
        <w:rPr>
          <w:lang w:val="sr-Cyrl-RS"/>
        </w:rPr>
        <w:t>.</w:t>
      </w:r>
      <w:r w:rsidR="00E20288" w:rsidRPr="00111876">
        <w:rPr>
          <w:color w:val="222222"/>
          <w:lang w:val="ru-RU"/>
        </w:rPr>
        <w:t xml:space="preserve"> </w:t>
      </w:r>
      <w:r>
        <w:rPr>
          <w:lang w:val="sr-Cyrl-RS"/>
        </w:rPr>
        <w:t>Од почетка ове године, 121</w:t>
      </w:r>
      <w:r w:rsidRPr="00200B4E">
        <w:rPr>
          <w:lang w:val="ru-RU"/>
        </w:rPr>
        <w:t>.</w:t>
      </w:r>
      <w:r w:rsidR="00E20288" w:rsidRPr="00803B36">
        <w:rPr>
          <w:lang w:val="sr-Cyrl-RS"/>
        </w:rPr>
        <w:t xml:space="preserve">308 </w:t>
      </w:r>
      <w:r w:rsidR="00E20288">
        <w:rPr>
          <w:color w:val="222222"/>
          <w:lang w:val="sr-Cyrl-RS"/>
        </w:rPr>
        <w:t xml:space="preserve">деце </w:t>
      </w:r>
      <w:r w:rsidR="00E20288" w:rsidRPr="00803B36">
        <w:rPr>
          <w:color w:val="222222"/>
          <w:lang w:val="sr-Cyrl-RS"/>
        </w:rPr>
        <w:t xml:space="preserve">(укључујући </w:t>
      </w:r>
      <w:r>
        <w:rPr>
          <w:color w:val="222222"/>
          <w:lang w:val="sr-Cyrl-RS"/>
        </w:rPr>
        <w:t xml:space="preserve">податке из </w:t>
      </w:r>
      <w:r w:rsidR="00E20288">
        <w:rPr>
          <w:color w:val="222222"/>
          <w:lang w:val="sr-Cyrl-RS"/>
        </w:rPr>
        <w:t xml:space="preserve"> </w:t>
      </w:r>
      <w:r w:rsidRPr="00200B4E">
        <w:rPr>
          <w:color w:val="222222"/>
          <w:lang w:val="sr-Cyrl-RS"/>
        </w:rPr>
        <w:t xml:space="preserve">UNICEF </w:t>
      </w:r>
      <w:r w:rsidR="00E20288">
        <w:rPr>
          <w:color w:val="222222"/>
          <w:lang w:val="sr-Cyrl-RS"/>
        </w:rPr>
        <w:t>Турска) примило је</w:t>
      </w:r>
      <w:r w:rsidR="00E20288" w:rsidRPr="00803B36">
        <w:rPr>
          <w:color w:val="222222"/>
          <w:lang w:val="sr-Cyrl-RS"/>
        </w:rPr>
        <w:t xml:space="preserve"> основне потрепштине</w:t>
      </w:r>
      <w:r w:rsidR="00E20288">
        <w:rPr>
          <w:color w:val="222222"/>
          <w:lang w:val="sr-Cyrl-RS"/>
        </w:rPr>
        <w:t>, пре свега одећу и средства за хигијену</w:t>
      </w:r>
      <w:r w:rsidR="00E20288" w:rsidRPr="00803B36">
        <w:rPr>
          <w:color w:val="222222"/>
          <w:lang w:val="sr-Cyrl-RS"/>
        </w:rPr>
        <w:t xml:space="preserve"> да би се заштитили о</w:t>
      </w:r>
      <w:r w:rsidR="00E20288">
        <w:rPr>
          <w:color w:val="222222"/>
          <w:lang w:val="sr-Cyrl-RS"/>
        </w:rPr>
        <w:t xml:space="preserve">д различитих  временских услова. </w:t>
      </w:r>
      <w:r w:rsidRPr="00200B4E">
        <w:rPr>
          <w:color w:val="222222"/>
          <w:lang w:val="ru-RU"/>
        </w:rPr>
        <w:t xml:space="preserve"> </w:t>
      </w:r>
    </w:p>
    <w:p w:rsidR="00200B4E" w:rsidRPr="00200B4E" w:rsidRDefault="00200B4E" w:rsidP="00200B4E">
      <w:pPr>
        <w:spacing w:after="0" w:line="360" w:lineRule="auto"/>
        <w:jc w:val="both"/>
        <w:rPr>
          <w:rFonts w:eastAsia="Times New Roman"/>
          <w:lang w:val="ru-RU"/>
        </w:rPr>
      </w:pPr>
    </w:p>
    <w:p w:rsidR="00E20288" w:rsidRPr="00803B36" w:rsidRDefault="00E20288" w:rsidP="00E20288">
      <w:pPr>
        <w:spacing w:line="360" w:lineRule="auto"/>
        <w:jc w:val="both"/>
        <w:rPr>
          <w:color w:val="222222"/>
          <w:lang w:val="sr-Cyrl-RS"/>
        </w:rPr>
      </w:pPr>
      <w:r w:rsidRPr="00803B36">
        <w:rPr>
          <w:color w:val="222222"/>
          <w:lang w:val="sr-Cyrl-RS"/>
        </w:rPr>
        <w:t xml:space="preserve">Према истом извору, 32% захтева за азил долази од </w:t>
      </w:r>
      <w:r>
        <w:rPr>
          <w:color w:val="222222"/>
          <w:lang w:val="sr-Cyrl-RS"/>
        </w:rPr>
        <w:t xml:space="preserve">држављана </w:t>
      </w:r>
      <w:r w:rsidRPr="00803B36">
        <w:rPr>
          <w:color w:val="222222"/>
          <w:lang w:val="sr-Cyrl-RS"/>
        </w:rPr>
        <w:t>Ав</w:t>
      </w:r>
      <w:r>
        <w:rPr>
          <w:color w:val="222222"/>
          <w:lang w:val="sr-Cyrl-RS"/>
        </w:rPr>
        <w:t>ганистана</w:t>
      </w:r>
      <w:r w:rsidRPr="00803B36">
        <w:rPr>
          <w:color w:val="222222"/>
          <w:lang w:val="sr-Cyrl-RS"/>
        </w:rPr>
        <w:t xml:space="preserve">, 13% </w:t>
      </w:r>
      <w:r>
        <w:rPr>
          <w:color w:val="222222"/>
          <w:lang w:val="sr-Cyrl-RS"/>
        </w:rPr>
        <w:t xml:space="preserve">су </w:t>
      </w:r>
      <w:r w:rsidRPr="00803B36">
        <w:rPr>
          <w:color w:val="222222"/>
          <w:lang w:val="sr-Cyrl-RS"/>
        </w:rPr>
        <w:t>држављани Еритреје</w:t>
      </w:r>
      <w:r>
        <w:rPr>
          <w:color w:val="222222"/>
          <w:lang w:val="sr-Cyrl-RS"/>
        </w:rPr>
        <w:t xml:space="preserve">, </w:t>
      </w:r>
      <w:r w:rsidRPr="00803B36">
        <w:rPr>
          <w:color w:val="222222"/>
          <w:lang w:val="sr-Cyrl-RS"/>
        </w:rPr>
        <w:t>а по 6% захтева односи се на</w:t>
      </w:r>
      <w:r w:rsidR="009B69BC">
        <w:rPr>
          <w:color w:val="222222"/>
          <w:lang w:val="sr-Cyrl-RS"/>
        </w:rPr>
        <w:t xml:space="preserve"> држављане Сирије, Сомалије </w:t>
      </w:r>
      <w:r w:rsidRPr="00803B36">
        <w:rPr>
          <w:color w:val="222222"/>
          <w:lang w:val="sr-Cyrl-RS"/>
        </w:rPr>
        <w:t>и Па</w:t>
      </w:r>
      <w:r w:rsidR="00200B4E">
        <w:rPr>
          <w:color w:val="222222"/>
          <w:lang w:val="sr-Cyrl-RS"/>
        </w:rPr>
        <w:t xml:space="preserve">кистана, док број захтева </w:t>
      </w:r>
      <w:r w:rsidRPr="00803B36">
        <w:rPr>
          <w:color w:val="222222"/>
          <w:lang w:val="sr-Cyrl-RS"/>
        </w:rPr>
        <w:t>држављана Ирака</w:t>
      </w:r>
      <w:r w:rsidR="00200B4E">
        <w:rPr>
          <w:color w:val="222222"/>
          <w:lang w:val="ru-RU"/>
        </w:rPr>
        <w:t xml:space="preserve"> чини</w:t>
      </w:r>
      <w:r w:rsidRPr="00803B36">
        <w:rPr>
          <w:color w:val="222222"/>
          <w:lang w:val="sr-Cyrl-RS"/>
        </w:rPr>
        <w:t xml:space="preserve"> 4% од укупног броја захтева.</w:t>
      </w:r>
    </w:p>
    <w:p w:rsidR="007E5CC9" w:rsidRPr="00A144BD" w:rsidRDefault="003417D3" w:rsidP="00A144BD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 w:rsidRPr="00E516B1">
        <w:rPr>
          <w:lang w:val="sr-Cyrl-RS"/>
        </w:rPr>
        <w:t>Описани миграциони токови праћени су последњих година интензивним развој</w:t>
      </w:r>
      <w:r>
        <w:rPr>
          <w:lang w:val="sr-Cyrl-RS"/>
        </w:rPr>
        <w:t>ем</w:t>
      </w:r>
      <w:r w:rsidRPr="00E516B1">
        <w:rPr>
          <w:lang w:val="sr-Cyrl-RS"/>
        </w:rPr>
        <w:t xml:space="preserve"> међународних политика и институционалних м</w:t>
      </w:r>
      <w:r>
        <w:rPr>
          <w:lang w:val="sr-Cyrl-RS"/>
        </w:rPr>
        <w:t xml:space="preserve">еханизама за контролу миграција, мада су              </w:t>
      </w:r>
      <w:r w:rsidRPr="00E516B1">
        <w:rPr>
          <w:lang w:val="sr-Cyrl-RS"/>
        </w:rPr>
        <w:t xml:space="preserve"> миграционе политике у</w:t>
      </w:r>
      <w:r>
        <w:rPr>
          <w:lang w:val="sr-Cyrl-RS"/>
        </w:rPr>
        <w:t xml:space="preserve"> </w:t>
      </w:r>
      <w:r w:rsidRPr="00E516B1">
        <w:rPr>
          <w:lang w:val="sr-Cyrl-RS"/>
        </w:rPr>
        <w:t>великој мери неуспешне, јер не успевају да остваре постављене циљеве. Разлог за то</w:t>
      </w:r>
      <w:r>
        <w:rPr>
          <w:lang w:val="sr-Cyrl-RS"/>
        </w:rPr>
        <w:t xml:space="preserve"> </w:t>
      </w:r>
      <w:r w:rsidRPr="00E516B1">
        <w:rPr>
          <w:lang w:val="sr-Cyrl-RS"/>
        </w:rPr>
        <w:t>је чињеница да су миграциони процеси дугорочни социјални процеси са сопственом</w:t>
      </w:r>
      <w:r>
        <w:rPr>
          <w:lang w:val="sr-Cyrl-RS"/>
        </w:rPr>
        <w:t xml:space="preserve"> </w:t>
      </w:r>
      <w:r w:rsidRPr="00E516B1">
        <w:rPr>
          <w:lang w:val="sr-Cyrl-RS"/>
        </w:rPr>
        <w:t>динамиком и снажним детерминантама</w:t>
      </w:r>
      <w:r w:rsidR="00A4728A">
        <w:rPr>
          <w:lang w:val="sr-Cyrl-RS"/>
        </w:rPr>
        <w:t xml:space="preserve"> на које ове политике слабо</w:t>
      </w:r>
      <w:r w:rsidRPr="00E516B1">
        <w:rPr>
          <w:lang w:val="sr-Cyrl-RS"/>
        </w:rPr>
        <w:t xml:space="preserve"> утичу</w:t>
      </w:r>
      <w:r>
        <w:rPr>
          <w:lang w:val="sr-Cyrl-RS"/>
        </w:rPr>
        <w:t xml:space="preserve">. </w:t>
      </w:r>
      <w:r w:rsidRPr="00E516B1">
        <w:rPr>
          <w:lang w:val="sr-Cyrl-RS"/>
        </w:rPr>
        <w:t xml:space="preserve"> Наиме, поједине земље </w:t>
      </w:r>
      <w:r>
        <w:rPr>
          <w:lang w:val="sr-Cyrl-RS"/>
        </w:rPr>
        <w:t>имају већу емиграцију</w:t>
      </w:r>
      <w:r w:rsidRPr="00E516B1">
        <w:rPr>
          <w:lang w:val="sr-Cyrl-RS"/>
        </w:rPr>
        <w:t>, док су</w:t>
      </w:r>
      <w:r>
        <w:rPr>
          <w:lang w:val="sr-Cyrl-RS"/>
        </w:rPr>
        <w:t xml:space="preserve"> </w:t>
      </w:r>
      <w:r w:rsidRPr="00E516B1">
        <w:rPr>
          <w:lang w:val="sr-Cyrl-RS"/>
        </w:rPr>
        <w:t>друге зависне од имигрантске радне снаге; мигрантске мреже могу бити толико</w:t>
      </w:r>
      <w:r>
        <w:rPr>
          <w:lang w:val="sr-Cyrl-RS"/>
        </w:rPr>
        <w:t xml:space="preserve"> </w:t>
      </w:r>
      <w:r w:rsidRPr="00E516B1">
        <w:rPr>
          <w:lang w:val="sr-Cyrl-RS"/>
        </w:rPr>
        <w:t>снажне да могу подржавати ланчане миграције упркос рестриктивним политикама; саме</w:t>
      </w:r>
      <w:r>
        <w:rPr>
          <w:lang w:val="sr-Cyrl-RS"/>
        </w:rPr>
        <w:t xml:space="preserve"> </w:t>
      </w:r>
      <w:r w:rsidRPr="00E516B1">
        <w:rPr>
          <w:lang w:val="sr-Cyrl-RS"/>
        </w:rPr>
        <w:t xml:space="preserve">политике </w:t>
      </w:r>
      <w:r>
        <w:rPr>
          <w:lang w:val="sr-Cyrl-RS"/>
        </w:rPr>
        <w:t>нису</w:t>
      </w:r>
      <w:r w:rsidRPr="00E516B1">
        <w:rPr>
          <w:lang w:val="sr-Cyrl-RS"/>
        </w:rPr>
        <w:t xml:space="preserve"> препреке, поготово за</w:t>
      </w:r>
      <w:r>
        <w:rPr>
          <w:lang w:val="sr-Cyrl-RS"/>
        </w:rPr>
        <w:t xml:space="preserve"> </w:t>
      </w:r>
      <w:r w:rsidRPr="00E516B1">
        <w:rPr>
          <w:lang w:val="sr-Cyrl-RS"/>
        </w:rPr>
        <w:t>мигранте из врло угрожени</w:t>
      </w:r>
      <w:r>
        <w:rPr>
          <w:lang w:val="sr-Cyrl-RS"/>
        </w:rPr>
        <w:t xml:space="preserve">х и неразвијених подручја света. </w:t>
      </w:r>
      <w:r w:rsidRPr="00E516B1">
        <w:rPr>
          <w:lang w:val="sr-Cyrl-RS"/>
        </w:rPr>
        <w:t xml:space="preserve">Због </w:t>
      </w:r>
      <w:r>
        <w:rPr>
          <w:lang w:val="sr-Cyrl-RS"/>
        </w:rPr>
        <w:t>напред</w:t>
      </w:r>
      <w:r w:rsidRPr="00E516B1">
        <w:rPr>
          <w:lang w:val="sr-Cyrl-RS"/>
        </w:rPr>
        <w:t xml:space="preserve"> наведено</w:t>
      </w:r>
      <w:r>
        <w:rPr>
          <w:lang w:val="sr-Cyrl-RS"/>
        </w:rPr>
        <w:t xml:space="preserve">г, добро управљање миграцијама </w:t>
      </w:r>
      <w:r w:rsidRPr="00E516B1">
        <w:rPr>
          <w:lang w:val="sr-Cyrl-RS"/>
        </w:rPr>
        <w:t>не би требало да</w:t>
      </w:r>
      <w:r>
        <w:rPr>
          <w:lang w:val="sr-Cyrl-RS"/>
        </w:rPr>
        <w:t xml:space="preserve"> </w:t>
      </w:r>
      <w:r w:rsidRPr="00E516B1">
        <w:rPr>
          <w:lang w:val="sr-Cyrl-RS"/>
        </w:rPr>
        <w:t>ограничава слободу кретања људи у ери глобализ</w:t>
      </w:r>
      <w:r>
        <w:rPr>
          <w:lang w:val="sr-Cyrl-RS"/>
        </w:rPr>
        <w:t>ације и модерних технологија</w:t>
      </w:r>
      <w:r w:rsidRPr="00E516B1">
        <w:rPr>
          <w:lang w:val="sr-Cyrl-RS"/>
        </w:rPr>
        <w:t>,</w:t>
      </w:r>
      <w:r>
        <w:rPr>
          <w:lang w:val="sr-Cyrl-RS"/>
        </w:rPr>
        <w:t xml:space="preserve"> већ </w:t>
      </w:r>
      <w:r w:rsidR="00A4728A">
        <w:rPr>
          <w:lang w:val="sr-Cyrl-RS"/>
        </w:rPr>
        <w:t xml:space="preserve">је потребно </w:t>
      </w:r>
      <w:r w:rsidRPr="00E516B1">
        <w:rPr>
          <w:lang w:val="sr-Cyrl-RS"/>
        </w:rPr>
        <w:t xml:space="preserve">да се успостави што тачније регистровање и праћење </w:t>
      </w:r>
      <w:r w:rsidRPr="00E516B1">
        <w:rPr>
          <w:lang w:val="sr-Cyrl-RS"/>
        </w:rPr>
        <w:lastRenderedPageBreak/>
        <w:t xml:space="preserve">миграција; </w:t>
      </w:r>
      <w:r>
        <w:rPr>
          <w:lang w:val="sr-Cyrl-RS"/>
        </w:rPr>
        <w:t xml:space="preserve">да се </w:t>
      </w:r>
      <w:r w:rsidRPr="00E516B1">
        <w:rPr>
          <w:lang w:val="sr-Cyrl-RS"/>
        </w:rPr>
        <w:t>ублажи деловање фактора</w:t>
      </w:r>
      <w:r>
        <w:rPr>
          <w:lang w:val="sr-Cyrl-RS"/>
        </w:rPr>
        <w:t xml:space="preserve"> као</w:t>
      </w:r>
      <w:r w:rsidRPr="00E516B1">
        <w:rPr>
          <w:lang w:val="sr-Cyrl-RS"/>
        </w:rPr>
        <w:t xml:space="preserve"> </w:t>
      </w:r>
      <w:r>
        <w:rPr>
          <w:lang w:val="sr-Cyrl-RS"/>
        </w:rPr>
        <w:t xml:space="preserve">што су </w:t>
      </w:r>
      <w:r w:rsidRPr="00E516B1">
        <w:rPr>
          <w:lang w:val="sr-Cyrl-RS"/>
        </w:rPr>
        <w:t>сиромаштво и социјалне неједнакости у земљама</w:t>
      </w:r>
      <w:r>
        <w:rPr>
          <w:lang w:val="sr-Cyrl-RS"/>
        </w:rPr>
        <w:t xml:space="preserve"> </w:t>
      </w:r>
      <w:r w:rsidRPr="00E516B1">
        <w:rPr>
          <w:lang w:val="sr-Cyrl-RS"/>
        </w:rPr>
        <w:t>порекла,  у правцу побољшања животног стандарда</w:t>
      </w:r>
      <w:r>
        <w:rPr>
          <w:lang w:val="sr-Cyrl-RS"/>
        </w:rPr>
        <w:t xml:space="preserve"> </w:t>
      </w:r>
      <w:r w:rsidRPr="00E516B1">
        <w:rPr>
          <w:lang w:val="sr-Cyrl-RS"/>
        </w:rPr>
        <w:t>локалног с</w:t>
      </w:r>
      <w:r>
        <w:rPr>
          <w:lang w:val="sr-Cyrl-RS"/>
        </w:rPr>
        <w:t>тановништва, посебно младих. Управљање миграцијама је прилика да</w:t>
      </w:r>
      <w:r w:rsidRPr="00E516B1">
        <w:rPr>
          <w:lang w:val="sr-Cyrl-RS"/>
        </w:rPr>
        <w:t xml:space="preserve"> се смање економске неједнакости</w:t>
      </w:r>
      <w:r>
        <w:rPr>
          <w:lang w:val="sr-Cyrl-RS"/>
        </w:rPr>
        <w:t xml:space="preserve"> </w:t>
      </w:r>
      <w:r w:rsidRPr="00E516B1">
        <w:rPr>
          <w:lang w:val="sr-Cyrl-RS"/>
        </w:rPr>
        <w:t>између земаља центра, полупериферије и перифе</w:t>
      </w:r>
      <w:r>
        <w:rPr>
          <w:lang w:val="sr-Cyrl-RS"/>
        </w:rPr>
        <w:t xml:space="preserve">рије, односно Севера и Југа, </w:t>
      </w:r>
      <w:r w:rsidRPr="00E516B1">
        <w:rPr>
          <w:lang w:val="sr-Cyrl-RS"/>
        </w:rPr>
        <w:t>да се</w:t>
      </w:r>
      <w:r>
        <w:rPr>
          <w:lang w:val="sr-Cyrl-RS"/>
        </w:rPr>
        <w:t xml:space="preserve"> </w:t>
      </w:r>
      <w:r w:rsidRPr="00E516B1">
        <w:rPr>
          <w:lang w:val="sr-Cyrl-RS"/>
        </w:rPr>
        <w:t>подстакну циркуларна или повратна кр</w:t>
      </w:r>
      <w:r>
        <w:rPr>
          <w:lang w:val="sr-Cyrl-RS"/>
        </w:rPr>
        <w:t xml:space="preserve">етања, као и </w:t>
      </w:r>
      <w:r w:rsidRPr="00E516B1">
        <w:rPr>
          <w:lang w:val="sr-Cyrl-RS"/>
        </w:rPr>
        <w:t>да се омогући да добити од</w:t>
      </w:r>
      <w:r>
        <w:rPr>
          <w:lang w:val="sr-Cyrl-RS"/>
        </w:rPr>
        <w:t xml:space="preserve"> </w:t>
      </w:r>
      <w:r w:rsidRPr="00E516B1">
        <w:rPr>
          <w:lang w:val="sr-Cyrl-RS"/>
        </w:rPr>
        <w:t>миграција искусе и зе</w:t>
      </w:r>
      <w:r w:rsidR="00A4728A">
        <w:rPr>
          <w:lang w:val="sr-Cyrl-RS"/>
        </w:rPr>
        <w:t>мље дестинације и земље порекла наводе истраживачи.</w:t>
      </w:r>
      <w:r>
        <w:rPr>
          <w:rStyle w:val="FootnoteReference"/>
          <w:lang w:val="sr-Cyrl-RS"/>
        </w:rPr>
        <w:footnoteReference w:id="10"/>
      </w:r>
    </w:p>
    <w:p w:rsidR="00B4174A" w:rsidRDefault="00BA66CB" w:rsidP="00A144BD">
      <w:pPr>
        <w:pStyle w:val="Heading1"/>
        <w:rPr>
          <w:lang w:val="sr-Cyrl-RS"/>
        </w:rPr>
      </w:pPr>
      <w:bookmarkStart w:id="5" w:name="_Toc468797343"/>
      <w:r>
        <w:rPr>
          <w:lang w:val="sr-Cyrl-RS"/>
        </w:rPr>
        <w:t>Западна б</w:t>
      </w:r>
      <w:r w:rsidR="007E5CC9" w:rsidRPr="00197934">
        <w:rPr>
          <w:lang w:val="sr-Cyrl-RS"/>
        </w:rPr>
        <w:t xml:space="preserve">алканска </w:t>
      </w:r>
      <w:r w:rsidR="007E5CC9">
        <w:rPr>
          <w:lang w:val="sr-Cyrl-RS"/>
        </w:rPr>
        <w:t>путања</w:t>
      </w:r>
      <w:bookmarkEnd w:id="5"/>
    </w:p>
    <w:p w:rsidR="00A144BD" w:rsidRPr="00A144BD" w:rsidRDefault="00A144BD" w:rsidP="00A144BD">
      <w:pPr>
        <w:pStyle w:val="NoSpacing"/>
        <w:rPr>
          <w:lang w:val="sr-Cyrl-RS"/>
        </w:rPr>
      </w:pPr>
    </w:p>
    <w:p w:rsidR="007E5CC9" w:rsidRPr="00B4174A" w:rsidRDefault="00B4174A" w:rsidP="007E5CC9">
      <w:pPr>
        <w:spacing w:line="360" w:lineRule="auto"/>
        <w:jc w:val="both"/>
        <w:rPr>
          <w:b/>
          <w:lang w:val="sr-Cyrl-RS"/>
        </w:rPr>
      </w:pPr>
      <w:r w:rsidRPr="009B69BC">
        <w:rPr>
          <w:bCs/>
          <w:lang w:val="sr-Cyrl-RS"/>
        </w:rPr>
        <w:t>Б</w:t>
      </w:r>
      <w:r w:rsidR="007E5CC9" w:rsidRPr="007E51D1">
        <w:rPr>
          <w:color w:val="222222"/>
          <w:lang w:val="sr-Cyrl-RS"/>
        </w:rPr>
        <w:t>ро</w:t>
      </w:r>
      <w:r>
        <w:rPr>
          <w:color w:val="222222"/>
          <w:lang w:val="sr-Cyrl-RS"/>
        </w:rPr>
        <w:t>ј миграната који долазе у Грчку</w:t>
      </w:r>
      <w:r w:rsidR="007E5CC9" w:rsidRPr="007E51D1">
        <w:rPr>
          <w:color w:val="222222"/>
          <w:lang w:val="sr-Cyrl-RS"/>
        </w:rPr>
        <w:t xml:space="preserve"> имао је домино ефекат на трасу Западног Балкан</w:t>
      </w:r>
      <w:r w:rsidR="007E5CC9">
        <w:rPr>
          <w:color w:val="222222"/>
          <w:lang w:val="sr-Cyrl-RS"/>
        </w:rPr>
        <w:t xml:space="preserve">а, тако </w:t>
      </w:r>
      <w:r>
        <w:rPr>
          <w:color w:val="222222"/>
          <w:lang w:val="sr-Cyrl-RS"/>
        </w:rPr>
        <w:t xml:space="preserve">што су лица који су ушла у ЕУ - </w:t>
      </w:r>
      <w:r w:rsidR="007E5CC9">
        <w:rPr>
          <w:color w:val="222222"/>
          <w:lang w:val="sr-Cyrl-RS"/>
        </w:rPr>
        <w:t>Грчку покушала</w:t>
      </w:r>
      <w:r w:rsidR="007E5CC9" w:rsidRPr="007E51D1">
        <w:rPr>
          <w:color w:val="222222"/>
          <w:lang w:val="sr-Cyrl-RS"/>
        </w:rPr>
        <w:t xml:space="preserve"> да </w:t>
      </w:r>
      <w:r w:rsidR="00AA6A33">
        <w:rPr>
          <w:color w:val="222222"/>
          <w:lang w:val="sr-Cyrl-RS"/>
        </w:rPr>
        <w:t>уђу</w:t>
      </w:r>
      <w:r w:rsidR="007E5CC9" w:rsidRPr="007E51D1">
        <w:rPr>
          <w:color w:val="222222"/>
          <w:lang w:val="sr-Cyrl-RS"/>
        </w:rPr>
        <w:t xml:space="preserve"> преко Македоније, Србије,  Мађарске и Хрватске, ка западној Европи. То је довело до великог броја м</w:t>
      </w:r>
      <w:r w:rsidR="009B69BC">
        <w:rPr>
          <w:color w:val="222222"/>
          <w:lang w:val="sr-Cyrl-RS"/>
        </w:rPr>
        <w:t>играната који желе да поново уђу</w:t>
      </w:r>
      <w:r w:rsidR="007E5CC9" w:rsidRPr="007E51D1">
        <w:rPr>
          <w:color w:val="222222"/>
          <w:lang w:val="sr-Cyrl-RS"/>
        </w:rPr>
        <w:t xml:space="preserve"> у ЕУ преко границе Мађарске са Србијом. Након Мађарске ограде на граници са Србијом у септембру</w:t>
      </w:r>
      <w:r>
        <w:rPr>
          <w:color w:val="222222"/>
          <w:lang w:val="sr-Cyrl-RS"/>
        </w:rPr>
        <w:t xml:space="preserve"> прошле године</w:t>
      </w:r>
      <w:r w:rsidR="007E5CC9" w:rsidRPr="007E51D1">
        <w:rPr>
          <w:color w:val="222222"/>
          <w:lang w:val="sr-Cyrl-RS"/>
        </w:rPr>
        <w:t xml:space="preserve">, проток миграната померен је у Хрватску. </w:t>
      </w:r>
      <w:r>
        <w:rPr>
          <w:color w:val="222222"/>
          <w:lang w:val="sr-Cyrl-RS"/>
        </w:rPr>
        <w:t>Током</w:t>
      </w:r>
      <w:r w:rsidR="007E5CC9" w:rsidRPr="007E51D1">
        <w:rPr>
          <w:color w:val="222222"/>
          <w:lang w:val="sr-Cyrl-RS"/>
        </w:rPr>
        <w:t xml:space="preserve">  2015.</w:t>
      </w:r>
      <w:r>
        <w:rPr>
          <w:color w:val="222222"/>
          <w:lang w:val="sr-Cyrl-RS"/>
        </w:rPr>
        <w:t xml:space="preserve"> године</w:t>
      </w:r>
      <w:r w:rsidR="007E5CC9" w:rsidRPr="007E51D1">
        <w:rPr>
          <w:color w:val="222222"/>
          <w:lang w:val="sr-Cyrl-RS"/>
        </w:rPr>
        <w:t>, у регион</w:t>
      </w:r>
      <w:r w:rsidR="007E5CC9">
        <w:rPr>
          <w:color w:val="222222"/>
          <w:lang w:val="sr-Cyrl-RS"/>
        </w:rPr>
        <w:t>у</w:t>
      </w:r>
      <w:r w:rsidR="009B69BC">
        <w:rPr>
          <w:color w:val="222222"/>
          <w:lang w:val="sr-Cyrl-RS"/>
        </w:rPr>
        <w:t xml:space="preserve"> је забележено 764.</w:t>
      </w:r>
      <w:r w:rsidR="007E5CC9" w:rsidRPr="007E51D1">
        <w:rPr>
          <w:color w:val="222222"/>
          <w:lang w:val="sr-Cyrl-RS"/>
        </w:rPr>
        <w:t>000 илегалних граничних прелаза мигранат</w:t>
      </w:r>
      <w:r w:rsidR="00AA6A33">
        <w:rPr>
          <w:color w:val="222222"/>
          <w:lang w:val="sr-Cyrl-RS"/>
        </w:rPr>
        <w:t xml:space="preserve">а, што представља пораст од  16 </w:t>
      </w:r>
      <w:r w:rsidR="007E5CC9" w:rsidRPr="007E51D1">
        <w:rPr>
          <w:color w:val="222222"/>
          <w:lang w:val="sr-Cyrl-RS"/>
        </w:rPr>
        <w:t xml:space="preserve">пута у односу на </w:t>
      </w:r>
      <w:r w:rsidR="007E5CC9">
        <w:rPr>
          <w:color w:val="222222"/>
          <w:lang w:val="sr-Cyrl-RS"/>
        </w:rPr>
        <w:t xml:space="preserve"> 2014. </w:t>
      </w:r>
      <w:r w:rsidR="00612763">
        <w:rPr>
          <w:color w:val="222222"/>
          <w:lang w:val="sr-Cyrl-RS"/>
        </w:rPr>
        <w:t xml:space="preserve">годину (погледати Табелу 1.). </w:t>
      </w:r>
      <w:r w:rsidR="007E5CC9" w:rsidRPr="007E51D1">
        <w:rPr>
          <w:color w:val="222222"/>
          <w:lang w:val="sr-Cyrl-RS"/>
        </w:rPr>
        <w:t>Структура по  националности</w:t>
      </w:r>
      <w:r w:rsidR="007E5CC9">
        <w:rPr>
          <w:color w:val="222222"/>
          <w:lang w:val="sr-Cyrl-RS"/>
        </w:rPr>
        <w:t xml:space="preserve"> је следећа</w:t>
      </w:r>
      <w:r w:rsidR="007E5CC9" w:rsidRPr="007E51D1">
        <w:rPr>
          <w:color w:val="222222"/>
          <w:lang w:val="sr-Cyrl-RS"/>
        </w:rPr>
        <w:t xml:space="preserve">:  сиријски држављани, затим Ирачани и Авганистанаци. </w:t>
      </w:r>
    </w:p>
    <w:p w:rsidR="007E5CC9" w:rsidRPr="007E51D1" w:rsidRDefault="007E5CC9" w:rsidP="007E5CC9">
      <w:pPr>
        <w:spacing w:line="360" w:lineRule="auto"/>
        <w:jc w:val="both"/>
        <w:rPr>
          <w:color w:val="222222"/>
          <w:lang w:val="sr-Cyrl-RS"/>
        </w:rPr>
      </w:pPr>
      <w:r w:rsidRPr="007E51D1">
        <w:rPr>
          <w:color w:val="222222"/>
          <w:lang w:val="sr-Cyrl-RS"/>
        </w:rPr>
        <w:t>У другом кварталу 2016</w:t>
      </w:r>
      <w:r>
        <w:rPr>
          <w:color w:val="222222"/>
          <w:lang w:val="sr-Cyrl-RS"/>
        </w:rPr>
        <w:t xml:space="preserve">. </w:t>
      </w:r>
      <w:r w:rsidR="00B4174A">
        <w:rPr>
          <w:color w:val="222222"/>
          <w:lang w:val="sr-Cyrl-RS"/>
        </w:rPr>
        <w:t>г</w:t>
      </w:r>
      <w:r>
        <w:rPr>
          <w:color w:val="222222"/>
          <w:lang w:val="sr-Cyrl-RS"/>
        </w:rPr>
        <w:t>одине</w:t>
      </w:r>
      <w:r w:rsidR="00B4174A">
        <w:rPr>
          <w:color w:val="222222"/>
          <w:lang w:val="sr-Cyrl-RS"/>
        </w:rPr>
        <w:t xml:space="preserve"> </w:t>
      </w:r>
      <w:r w:rsidR="00B4174A" w:rsidRPr="00B4174A">
        <w:rPr>
          <w:color w:val="222222"/>
          <w:lang w:val="sr-Cyrl-RS"/>
        </w:rPr>
        <w:t>пријављено је</w:t>
      </w:r>
      <w:r w:rsidRPr="007E51D1">
        <w:rPr>
          <w:color w:val="222222"/>
          <w:lang w:val="sr-Cyrl-RS"/>
        </w:rPr>
        <w:t xml:space="preserve"> </w:t>
      </w:r>
      <w:r w:rsidRPr="00B4174A">
        <w:rPr>
          <w:color w:val="222222"/>
          <w:lang w:val="sr-Cyrl-RS"/>
        </w:rPr>
        <w:t xml:space="preserve">862 случаја </w:t>
      </w:r>
      <w:r w:rsidR="00B4174A" w:rsidRPr="00B4174A">
        <w:rPr>
          <w:color w:val="222222"/>
          <w:lang w:val="sr-Cyrl-RS"/>
        </w:rPr>
        <w:t>илегалног боравка</w:t>
      </w:r>
      <w:r w:rsidR="00B4174A"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на нивоу </w:t>
      </w:r>
      <w:r w:rsidRPr="007E51D1">
        <w:rPr>
          <w:color w:val="222222"/>
          <w:lang w:val="sr-Cyrl-RS"/>
        </w:rPr>
        <w:t xml:space="preserve">балканских земаља. Ово је 3% више него у претходном кварталу, </w:t>
      </w:r>
      <w:r w:rsidR="00B4174A">
        <w:rPr>
          <w:color w:val="222222"/>
          <w:lang w:val="sr-Cyrl-RS"/>
        </w:rPr>
        <w:t>док је</w:t>
      </w:r>
      <w:r>
        <w:rPr>
          <w:color w:val="222222"/>
          <w:lang w:val="sr-Cyrl-RS"/>
        </w:rPr>
        <w:t xml:space="preserve"> у </w:t>
      </w:r>
      <w:r w:rsidRPr="007E51D1">
        <w:rPr>
          <w:color w:val="222222"/>
          <w:lang w:val="sr-Cyrl-RS"/>
        </w:rPr>
        <w:t>односу на исти квартал 2015. године, и</w:t>
      </w:r>
      <w:r w:rsidR="009B69BC">
        <w:rPr>
          <w:color w:val="222222"/>
          <w:lang w:val="sr-Cyrl-RS"/>
        </w:rPr>
        <w:t>легални</w:t>
      </w:r>
      <w:r w:rsidR="00612763">
        <w:rPr>
          <w:color w:val="222222"/>
          <w:lang w:val="sr-Cyrl-RS"/>
        </w:rPr>
        <w:t xml:space="preserve"> боравак </w:t>
      </w:r>
      <w:r>
        <w:rPr>
          <w:color w:val="222222"/>
          <w:lang w:val="sr-Cyrl-RS"/>
        </w:rPr>
        <w:t>смањен за 3%</w:t>
      </w:r>
      <w:r w:rsidRPr="007E51D1">
        <w:rPr>
          <w:color w:val="222222"/>
          <w:lang w:val="sr-Cyrl-RS"/>
        </w:rPr>
        <w:t xml:space="preserve">. </w:t>
      </w:r>
    </w:p>
    <w:p w:rsidR="003417D3" w:rsidRPr="00A144BD" w:rsidRDefault="007E5CC9" w:rsidP="007E5CC9">
      <w:pPr>
        <w:spacing w:line="360" w:lineRule="auto"/>
        <w:jc w:val="both"/>
        <w:rPr>
          <w:color w:val="222222"/>
          <w:lang w:val="ru-RU"/>
        </w:rPr>
      </w:pPr>
      <w:r w:rsidRPr="007E51D1">
        <w:rPr>
          <w:lang w:val="sr-Cyrl-RS"/>
        </w:rPr>
        <w:t xml:space="preserve">Западна Балканска </w:t>
      </w:r>
      <w:r>
        <w:rPr>
          <w:lang w:val="sr-Cyrl-RS"/>
        </w:rPr>
        <w:t>путања</w:t>
      </w:r>
      <w:r w:rsidRPr="007E51D1">
        <w:rPr>
          <w:lang w:val="sr-Cyrl-RS"/>
        </w:rPr>
        <w:t xml:space="preserve"> је </w:t>
      </w:r>
      <w:r>
        <w:rPr>
          <w:color w:val="222222"/>
          <w:lang w:val="sr-Cyrl-RS"/>
        </w:rPr>
        <w:t>постала</w:t>
      </w:r>
      <w:r w:rsidRPr="007E51D1">
        <w:rPr>
          <w:color w:val="222222"/>
          <w:lang w:val="sr-Cyrl-RS"/>
        </w:rPr>
        <w:t xml:space="preserve"> важан пролаз у ЕУ у 2012. години, када су ограничења </w:t>
      </w:r>
      <w:r w:rsidR="00B4174A">
        <w:rPr>
          <w:color w:val="222222"/>
          <w:lang w:val="sr-Cyrl-RS"/>
        </w:rPr>
        <w:t>за улазак у земље шенгенског простора</w:t>
      </w:r>
      <w:r w:rsidRPr="007E51D1">
        <w:rPr>
          <w:color w:val="222222"/>
          <w:lang w:val="sr-Cyrl-RS"/>
        </w:rPr>
        <w:t xml:space="preserve"> смањена з</w:t>
      </w:r>
      <w:r w:rsidR="009B69BC">
        <w:rPr>
          <w:color w:val="222222"/>
          <w:lang w:val="sr-Cyrl-RS"/>
        </w:rPr>
        <w:t>а пет балканских земаља – Србију</w:t>
      </w:r>
      <w:r w:rsidRPr="007E51D1">
        <w:rPr>
          <w:color w:val="222222"/>
          <w:lang w:val="sr-Cyrl-RS"/>
        </w:rPr>
        <w:t xml:space="preserve">, </w:t>
      </w:r>
      <w:r w:rsidR="009B69BC">
        <w:rPr>
          <w:color w:val="222222"/>
          <w:lang w:val="sr-Cyrl-RS"/>
        </w:rPr>
        <w:t>Македонију, Босну и Херцеговину, Црну Гору и Албанију</w:t>
      </w:r>
      <w:r>
        <w:rPr>
          <w:color w:val="222222"/>
          <w:lang w:val="sr-Cyrl-RS"/>
        </w:rPr>
        <w:t xml:space="preserve">. </w:t>
      </w:r>
      <w:r w:rsidRPr="007E51D1">
        <w:rPr>
          <w:color w:val="222222"/>
          <w:lang w:val="sr-Cyrl-RS"/>
        </w:rPr>
        <w:t xml:space="preserve">У 2013. години, око 20.000 људи прешло </w:t>
      </w:r>
      <w:r w:rsidR="00B86CFD">
        <w:rPr>
          <w:color w:val="222222"/>
          <w:lang w:val="sr-Cyrl-RS"/>
        </w:rPr>
        <w:t xml:space="preserve">је </w:t>
      </w:r>
      <w:r w:rsidRPr="007E51D1">
        <w:rPr>
          <w:color w:val="222222"/>
          <w:lang w:val="sr-Cyrl-RS"/>
        </w:rPr>
        <w:t>границе са Мађарском илегално. Скоро сви су</w:t>
      </w:r>
      <w:r w:rsidR="00B86CFD">
        <w:rPr>
          <w:color w:val="222222"/>
          <w:lang w:val="sr-Cyrl-RS"/>
        </w:rPr>
        <w:t xml:space="preserve"> затражили азил након преласка, </w:t>
      </w:r>
      <w:r w:rsidRPr="007E51D1">
        <w:rPr>
          <w:color w:val="222222"/>
          <w:lang w:val="sr-Cyrl-RS"/>
        </w:rPr>
        <w:t xml:space="preserve">охрабрени променама у мађарском закону који </w:t>
      </w:r>
      <w:r>
        <w:rPr>
          <w:color w:val="222222"/>
          <w:lang w:val="sr-Cyrl-RS"/>
        </w:rPr>
        <w:t xml:space="preserve">је </w:t>
      </w:r>
      <w:r w:rsidRPr="007E51D1">
        <w:rPr>
          <w:color w:val="222222"/>
          <w:lang w:val="sr-Cyrl-RS"/>
        </w:rPr>
        <w:t>дозвољава</w:t>
      </w:r>
      <w:r>
        <w:rPr>
          <w:color w:val="222222"/>
          <w:lang w:val="sr-Cyrl-RS"/>
        </w:rPr>
        <w:t>о</w:t>
      </w:r>
      <w:r w:rsidRPr="007E51D1">
        <w:rPr>
          <w:color w:val="222222"/>
          <w:lang w:val="sr-Cyrl-RS"/>
        </w:rPr>
        <w:t xml:space="preserve"> азилантима да бораве у колективним центрима</w:t>
      </w:r>
      <w:r>
        <w:rPr>
          <w:color w:val="222222"/>
          <w:lang w:val="sr-Cyrl-RS"/>
        </w:rPr>
        <w:t>.</w:t>
      </w:r>
      <w:r w:rsidR="009B69BC">
        <w:rPr>
          <w:color w:val="222222"/>
          <w:lang w:val="sr-Cyrl-RS"/>
        </w:rPr>
        <w:t xml:space="preserve"> </w:t>
      </w:r>
      <w:r w:rsidRPr="007E51D1">
        <w:rPr>
          <w:color w:val="222222"/>
          <w:lang w:val="sr-Cyrl-RS"/>
        </w:rPr>
        <w:t>У јулу</w:t>
      </w:r>
      <w:r w:rsidR="00B86CFD">
        <w:rPr>
          <w:color w:val="222222"/>
          <w:lang w:val="sr-Cyrl-RS"/>
        </w:rPr>
        <w:t xml:space="preserve"> те године</w:t>
      </w:r>
      <w:r w:rsidRPr="007E51D1">
        <w:rPr>
          <w:color w:val="222222"/>
          <w:lang w:val="sr-Cyrl-RS"/>
        </w:rPr>
        <w:t xml:space="preserve">, мађарске власти </w:t>
      </w:r>
      <w:r>
        <w:rPr>
          <w:color w:val="222222"/>
          <w:lang w:val="sr-Cyrl-RS"/>
        </w:rPr>
        <w:t>су усвојиле измене</w:t>
      </w:r>
      <w:r w:rsidR="00B86CFD">
        <w:rPr>
          <w:color w:val="222222"/>
          <w:lang w:val="sr-Cyrl-RS"/>
        </w:rPr>
        <w:t xml:space="preserve"> закон</w:t>
      </w:r>
      <w:r w:rsidR="009B69BC">
        <w:rPr>
          <w:color w:val="222222"/>
          <w:lang w:val="sr-Cyrl-RS"/>
        </w:rPr>
        <w:t>а о азилу и ојачале</w:t>
      </w:r>
      <w:r w:rsidRPr="007E51D1">
        <w:rPr>
          <w:color w:val="222222"/>
          <w:lang w:val="sr-Cyrl-RS"/>
        </w:rPr>
        <w:t xml:space="preserve"> граничне контроле. Мигрант</w:t>
      </w:r>
      <w:r>
        <w:rPr>
          <w:color w:val="222222"/>
          <w:lang w:val="sr-Cyrl-RS"/>
        </w:rPr>
        <w:t>ск</w:t>
      </w:r>
      <w:r w:rsidRPr="007E51D1">
        <w:rPr>
          <w:color w:val="222222"/>
          <w:lang w:val="sr-Cyrl-RS"/>
        </w:rPr>
        <w:t xml:space="preserve">и ток из Грчке је искључен, али </w:t>
      </w:r>
      <w:r>
        <w:rPr>
          <w:color w:val="222222"/>
          <w:lang w:val="sr-Cyrl-RS"/>
        </w:rPr>
        <w:t xml:space="preserve">је </w:t>
      </w:r>
      <w:r w:rsidRPr="007E51D1">
        <w:rPr>
          <w:color w:val="222222"/>
          <w:lang w:val="sr-Cyrl-RS"/>
        </w:rPr>
        <w:t>број порастао драматично поново у 2014.</w:t>
      </w:r>
      <w:r w:rsidR="00B86CFD">
        <w:rPr>
          <w:color w:val="222222"/>
          <w:lang w:val="sr-Cyrl-RS"/>
        </w:rPr>
        <w:t xml:space="preserve"> години</w:t>
      </w:r>
      <w:r>
        <w:rPr>
          <w:color w:val="222222"/>
          <w:lang w:val="sr-Cyrl-RS"/>
        </w:rPr>
        <w:t xml:space="preserve">. Један од разлога биле су </w:t>
      </w:r>
      <w:r w:rsidRPr="007E51D1">
        <w:rPr>
          <w:color w:val="222222"/>
          <w:lang w:val="sr-Cyrl-RS"/>
        </w:rPr>
        <w:t>нерегуларан</w:t>
      </w:r>
      <w:r>
        <w:rPr>
          <w:color w:val="222222"/>
          <w:lang w:val="sr-Cyrl-RS"/>
        </w:rPr>
        <w:t>е</w:t>
      </w:r>
      <w:r w:rsidRPr="007E51D1">
        <w:rPr>
          <w:color w:val="222222"/>
          <w:lang w:val="sr-Cyrl-RS"/>
        </w:rPr>
        <w:t xml:space="preserve"> миграције држављана у региону, а по</w:t>
      </w:r>
      <w:r>
        <w:rPr>
          <w:color w:val="222222"/>
          <w:lang w:val="sr-Cyrl-RS"/>
        </w:rPr>
        <w:t>себно са Косова и Метохије, које се прикључују Сиријцима</w:t>
      </w:r>
      <w:r w:rsidRPr="007E51D1">
        <w:rPr>
          <w:color w:val="222222"/>
          <w:lang w:val="sr-Cyrl-RS"/>
        </w:rPr>
        <w:t xml:space="preserve"> и </w:t>
      </w:r>
      <w:r>
        <w:rPr>
          <w:color w:val="222222"/>
          <w:lang w:val="sr-Cyrl-RS"/>
        </w:rPr>
        <w:t>држављанима Сомалије</w:t>
      </w:r>
      <w:r w:rsidRPr="007E51D1">
        <w:rPr>
          <w:color w:val="222222"/>
          <w:lang w:val="sr-Cyrl-RS"/>
        </w:rPr>
        <w:t>. По доласку у Мађарск</w:t>
      </w:r>
      <w:r>
        <w:rPr>
          <w:color w:val="222222"/>
          <w:lang w:val="sr-Cyrl-RS"/>
        </w:rPr>
        <w:t xml:space="preserve">у </w:t>
      </w:r>
      <w:r w:rsidRPr="007E51D1">
        <w:rPr>
          <w:color w:val="222222"/>
          <w:lang w:val="sr-Cyrl-RS"/>
        </w:rPr>
        <w:t xml:space="preserve">тражили </w:t>
      </w:r>
      <w:r w:rsidR="00DD7A17">
        <w:rPr>
          <w:color w:val="222222"/>
          <w:lang w:val="sr-Cyrl-RS"/>
        </w:rPr>
        <w:t xml:space="preserve">су </w:t>
      </w:r>
      <w:r w:rsidRPr="007E51D1">
        <w:rPr>
          <w:color w:val="222222"/>
          <w:lang w:val="sr-Cyrl-RS"/>
        </w:rPr>
        <w:t>азил</w:t>
      </w:r>
      <w:r>
        <w:rPr>
          <w:color w:val="222222"/>
          <w:lang w:val="sr-Cyrl-RS"/>
        </w:rPr>
        <w:t xml:space="preserve"> и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након боравка у отвореним колективним центрима,</w:t>
      </w:r>
      <w:r w:rsidR="009B69BC">
        <w:rPr>
          <w:color w:val="222222"/>
          <w:lang w:val="sr-Cyrl-RS"/>
        </w:rPr>
        <w:t xml:space="preserve"> кретали су</w:t>
      </w:r>
      <w:r w:rsidRPr="007E51D1">
        <w:rPr>
          <w:color w:val="222222"/>
          <w:lang w:val="sr-Cyrl-RS"/>
        </w:rPr>
        <w:t xml:space="preserve"> у друг</w:t>
      </w:r>
      <w:r>
        <w:rPr>
          <w:color w:val="222222"/>
          <w:lang w:val="sr-Cyrl-RS"/>
        </w:rPr>
        <w:t>е земље Европске уније, нарочиту Аустрију и Нема</w:t>
      </w:r>
      <w:r w:rsidR="009B69BC">
        <w:rPr>
          <w:color w:val="222222"/>
          <w:lang w:val="sr-Cyrl-RS"/>
        </w:rPr>
        <w:t>чку, где су многи поново подносили</w:t>
      </w:r>
      <w:r w:rsidRPr="007E51D1">
        <w:rPr>
          <w:color w:val="222222"/>
          <w:lang w:val="sr-Cyrl-RS"/>
        </w:rPr>
        <w:t xml:space="preserve"> захтев за азил</w:t>
      </w:r>
      <w:r>
        <w:rPr>
          <w:color w:val="222222"/>
          <w:lang w:val="sr-Cyrl-RS"/>
        </w:rPr>
        <w:t>. У табели у наставку текста уочљив је велики скок илегалних прелазака прошле године.</w:t>
      </w:r>
    </w:p>
    <w:p w:rsidR="00111876" w:rsidRDefault="00111876" w:rsidP="007E5CC9">
      <w:pPr>
        <w:spacing w:line="360" w:lineRule="auto"/>
        <w:jc w:val="both"/>
        <w:rPr>
          <w:color w:val="222222"/>
          <w:lang w:val="ru-RU"/>
        </w:rPr>
      </w:pPr>
    </w:p>
    <w:p w:rsidR="009B69BC" w:rsidRPr="00A144BD" w:rsidRDefault="009B69BC" w:rsidP="007E5CC9">
      <w:pPr>
        <w:spacing w:line="360" w:lineRule="auto"/>
        <w:jc w:val="both"/>
        <w:rPr>
          <w:color w:val="222222"/>
          <w:lang w:val="ru-RU"/>
        </w:rPr>
      </w:pPr>
    </w:p>
    <w:p w:rsidR="007E5CC9" w:rsidRPr="007E51D1" w:rsidRDefault="007E5CC9" w:rsidP="007E5CC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Табела</w:t>
      </w:r>
      <w:r w:rsidR="00516D03">
        <w:rPr>
          <w:lang w:val="sr-Cyrl-RS"/>
        </w:rPr>
        <w:t xml:space="preserve"> 1.</w:t>
      </w:r>
      <w:r w:rsidR="009B69BC">
        <w:rPr>
          <w:lang w:val="sr-Cyrl-RS"/>
        </w:rPr>
        <w:t>: Западно б</w:t>
      </w:r>
      <w:r>
        <w:rPr>
          <w:lang w:val="sr-Cyrl-RS"/>
        </w:rPr>
        <w:t>алканска путања</w:t>
      </w:r>
      <w:r w:rsidRPr="007E51D1">
        <w:rPr>
          <w:lang w:val="sr-Cyrl-RS"/>
        </w:rPr>
        <w:t>; број илегалних прелазака по годинама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7E5CC9" w:rsidRPr="007E51D1" w:rsidTr="005236C5">
        <w:tc>
          <w:tcPr>
            <w:tcW w:w="4621" w:type="dxa"/>
          </w:tcPr>
          <w:p w:rsidR="007E5CC9" w:rsidRPr="007E51D1" w:rsidRDefault="009B69BC" w:rsidP="005236C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Година</w:t>
            </w:r>
          </w:p>
        </w:tc>
        <w:tc>
          <w:tcPr>
            <w:tcW w:w="4622" w:type="dxa"/>
          </w:tcPr>
          <w:p w:rsidR="007E5CC9" w:rsidRPr="007E51D1" w:rsidRDefault="009B69BC" w:rsidP="005236C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  <w:r w:rsidR="00161C09">
              <w:rPr>
                <w:lang w:val="sr-Cyrl-RS"/>
              </w:rPr>
              <w:t xml:space="preserve"> илегалних прелазака</w:t>
            </w:r>
          </w:p>
        </w:tc>
      </w:tr>
      <w:tr w:rsidR="007E5CC9" w:rsidRPr="007E51D1" w:rsidTr="005236C5">
        <w:tc>
          <w:tcPr>
            <w:tcW w:w="4621" w:type="dxa"/>
          </w:tcPr>
          <w:p w:rsidR="007E5CC9" w:rsidRPr="007E51D1" w:rsidRDefault="007E5CC9" w:rsidP="00DC368D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2015</w:t>
            </w:r>
          </w:p>
        </w:tc>
        <w:tc>
          <w:tcPr>
            <w:tcW w:w="4622" w:type="dxa"/>
          </w:tcPr>
          <w:p w:rsidR="007E5CC9" w:rsidRPr="007E51D1" w:rsidRDefault="007E5CC9" w:rsidP="005236C5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764 038</w:t>
            </w:r>
          </w:p>
        </w:tc>
      </w:tr>
      <w:tr w:rsidR="007E5CC9" w:rsidRPr="007E51D1" w:rsidTr="005236C5">
        <w:tc>
          <w:tcPr>
            <w:tcW w:w="4621" w:type="dxa"/>
          </w:tcPr>
          <w:p w:rsidR="007E5CC9" w:rsidRPr="007E51D1" w:rsidRDefault="007E5CC9" w:rsidP="00DC368D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2014</w:t>
            </w:r>
          </w:p>
        </w:tc>
        <w:tc>
          <w:tcPr>
            <w:tcW w:w="4622" w:type="dxa"/>
          </w:tcPr>
          <w:p w:rsidR="007E5CC9" w:rsidRPr="007E51D1" w:rsidRDefault="007E5CC9" w:rsidP="005236C5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43 360</w:t>
            </w:r>
          </w:p>
        </w:tc>
      </w:tr>
      <w:tr w:rsidR="007E5CC9" w:rsidRPr="007E51D1" w:rsidTr="005236C5">
        <w:tc>
          <w:tcPr>
            <w:tcW w:w="4621" w:type="dxa"/>
          </w:tcPr>
          <w:p w:rsidR="007E5CC9" w:rsidRPr="007E51D1" w:rsidRDefault="007E5CC9" w:rsidP="00DC368D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2013</w:t>
            </w:r>
          </w:p>
        </w:tc>
        <w:tc>
          <w:tcPr>
            <w:tcW w:w="4622" w:type="dxa"/>
          </w:tcPr>
          <w:p w:rsidR="007E5CC9" w:rsidRPr="007E51D1" w:rsidRDefault="007E5CC9" w:rsidP="005236C5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19 950</w:t>
            </w:r>
          </w:p>
        </w:tc>
      </w:tr>
      <w:tr w:rsidR="007E5CC9" w:rsidRPr="007E51D1" w:rsidTr="005236C5">
        <w:tc>
          <w:tcPr>
            <w:tcW w:w="4621" w:type="dxa"/>
          </w:tcPr>
          <w:p w:rsidR="007E5CC9" w:rsidRPr="007E51D1" w:rsidRDefault="007E5CC9" w:rsidP="005236C5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2012</w:t>
            </w:r>
          </w:p>
        </w:tc>
        <w:tc>
          <w:tcPr>
            <w:tcW w:w="4622" w:type="dxa"/>
          </w:tcPr>
          <w:p w:rsidR="007E5CC9" w:rsidRPr="007E51D1" w:rsidRDefault="007E5CC9" w:rsidP="005236C5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6 390</w:t>
            </w:r>
          </w:p>
        </w:tc>
      </w:tr>
    </w:tbl>
    <w:p w:rsidR="007E5CC9" w:rsidRPr="00DC368D" w:rsidRDefault="007E5CC9" w:rsidP="007E5CC9">
      <w:pPr>
        <w:spacing w:line="360" w:lineRule="auto"/>
        <w:rPr>
          <w:lang w:val="sr-Cyrl-RS"/>
        </w:rPr>
      </w:pPr>
      <w:r w:rsidRPr="00DC368D">
        <w:rPr>
          <w:lang w:val="sr-Cyrl-RS"/>
        </w:rPr>
        <w:t xml:space="preserve">Извор:  </w:t>
      </w:r>
      <w:r w:rsidR="00E7218B" w:rsidRPr="00DC368D">
        <w:rPr>
          <w:i/>
          <w:lang w:val="sr-Cyrl-RS"/>
        </w:rPr>
        <w:t xml:space="preserve">WB-RAN data, </w:t>
      </w:r>
      <w:r w:rsidRPr="00DC368D">
        <w:rPr>
          <w:lang w:val="sr-Cyrl-RS"/>
        </w:rPr>
        <w:t>10</w:t>
      </w:r>
      <w:r w:rsidR="00DC368D" w:rsidRPr="00DC368D">
        <w:rPr>
          <w:lang w:val="sr-Cyrl-RS"/>
        </w:rPr>
        <w:t>.08.</w:t>
      </w:r>
      <w:r w:rsidRPr="00DC368D">
        <w:rPr>
          <w:lang w:val="sr-Cyrl-RS"/>
        </w:rPr>
        <w:t>2016.</w:t>
      </w:r>
    </w:p>
    <w:p w:rsidR="00AD74F5" w:rsidRPr="00A144BD" w:rsidRDefault="00DD7A17" w:rsidP="00A144BD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За период јануар-април ове године </w:t>
      </w:r>
      <w:r w:rsidR="007E5CC9" w:rsidRPr="007E51D1">
        <w:rPr>
          <w:lang w:val="sr-Cyrl-RS"/>
        </w:rPr>
        <w:t>број илегалних</w:t>
      </w:r>
      <w:r w:rsidR="009B69BC">
        <w:rPr>
          <w:lang w:val="sr-Cyrl-RS"/>
        </w:rPr>
        <w:t xml:space="preserve"> прелазака на западно б</w:t>
      </w:r>
      <w:r w:rsidR="003417D3">
        <w:rPr>
          <w:lang w:val="sr-Cyrl-RS"/>
        </w:rPr>
        <w:t xml:space="preserve">алканском </w:t>
      </w:r>
      <w:r>
        <w:rPr>
          <w:lang w:val="sr-Cyrl-RS"/>
        </w:rPr>
        <w:t>путу</w:t>
      </w:r>
      <w:r w:rsidR="009B69BC">
        <w:rPr>
          <w:lang w:val="sr-Cyrl-RS"/>
        </w:rPr>
        <w:t xml:space="preserve"> је 112.</w:t>
      </w:r>
      <w:r w:rsidR="007E5CC9" w:rsidRPr="007E51D1">
        <w:rPr>
          <w:lang w:val="sr-Cyrl-RS"/>
        </w:rPr>
        <w:t xml:space="preserve">477. Највећи број илегалних прелазака је забележен на </w:t>
      </w:r>
      <w:r w:rsidR="009B69BC">
        <w:rPr>
          <w:lang w:val="sr-Cyrl-RS"/>
        </w:rPr>
        <w:t>правцу источно м</w:t>
      </w:r>
      <w:r w:rsidR="007E5CC9">
        <w:rPr>
          <w:lang w:val="sr-Cyrl-RS"/>
        </w:rPr>
        <w:t>едитеранска путања</w:t>
      </w:r>
      <w:r w:rsidR="009B69BC">
        <w:rPr>
          <w:lang w:val="sr-Cyrl-RS"/>
        </w:rPr>
        <w:t xml:space="preserve"> – 157.</w:t>
      </w:r>
      <w:r w:rsidR="007E5CC9" w:rsidRPr="007E51D1">
        <w:rPr>
          <w:lang w:val="sr-Cyrl-RS"/>
        </w:rPr>
        <w:t xml:space="preserve">019, од чега </w:t>
      </w:r>
      <w:r w:rsidR="007E5CC9">
        <w:rPr>
          <w:lang w:val="sr-Cyrl-RS"/>
        </w:rPr>
        <w:t xml:space="preserve">су </w:t>
      </w:r>
      <w:r w:rsidR="007E5CC9" w:rsidRPr="007E51D1">
        <w:rPr>
          <w:lang w:val="sr-Cyrl-RS"/>
        </w:rPr>
        <w:t>Сиријци 76 741, Авганистанци око 39 000 и Ирачани око 25 000</w:t>
      </w:r>
      <w:r w:rsidR="007E5CC9" w:rsidRPr="007E51D1">
        <w:rPr>
          <w:rStyle w:val="FootnoteReference"/>
          <w:lang w:val="sr-Cyrl-RS"/>
        </w:rPr>
        <w:footnoteReference w:id="11"/>
      </w:r>
    </w:p>
    <w:p w:rsidR="00AB35EC" w:rsidRDefault="00594C36" w:rsidP="00A144BD">
      <w:pPr>
        <w:pStyle w:val="Heading1"/>
        <w:rPr>
          <w:lang w:val="sr-Cyrl-RS"/>
        </w:rPr>
      </w:pPr>
      <w:bookmarkStart w:id="6" w:name="_Toc468797344"/>
      <w:r>
        <w:rPr>
          <w:lang w:val="sr-Cyrl-RS"/>
        </w:rPr>
        <w:t>Међународна заштита и п</w:t>
      </w:r>
      <w:r w:rsidR="00AB35EC">
        <w:rPr>
          <w:lang w:val="sr-Cyrl-RS"/>
        </w:rPr>
        <w:t>олитика а</w:t>
      </w:r>
      <w:r w:rsidR="00AB35EC" w:rsidRPr="00424E83">
        <w:rPr>
          <w:lang w:val="sr-Cyrl-RS"/>
        </w:rPr>
        <w:t>зил</w:t>
      </w:r>
      <w:r w:rsidR="00AB35EC">
        <w:rPr>
          <w:lang w:val="sr-Cyrl-RS"/>
        </w:rPr>
        <w:t>а</w:t>
      </w:r>
      <w:bookmarkEnd w:id="6"/>
    </w:p>
    <w:p w:rsidR="00AB35EC" w:rsidRPr="00424E83" w:rsidRDefault="00AB35EC" w:rsidP="00AB35EC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</w:p>
    <w:p w:rsidR="00906D9C" w:rsidRDefault="007B2692" w:rsidP="00906D9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 w:rsidRPr="00A4728A">
        <w:rPr>
          <w:color w:val="222222"/>
          <w:lang w:val="sr-Cyrl-RS"/>
        </w:rPr>
        <w:t>Број</w:t>
      </w:r>
      <w:r w:rsidR="00AB35EC" w:rsidRPr="00A4728A">
        <w:rPr>
          <w:color w:val="222222"/>
          <w:lang w:val="sr-Latn-RS"/>
        </w:rPr>
        <w:t xml:space="preserve"> захтева за међународну заштиту </w:t>
      </w:r>
      <w:r w:rsidRPr="00A4728A">
        <w:rPr>
          <w:color w:val="222222"/>
          <w:lang w:val="sr-Cyrl-RS"/>
        </w:rPr>
        <w:t xml:space="preserve">по </w:t>
      </w:r>
      <w:r w:rsidR="00AB35EC" w:rsidRPr="00A4728A">
        <w:rPr>
          <w:color w:val="222222"/>
          <w:lang w:val="sr-Cyrl-RS"/>
        </w:rPr>
        <w:t>први пу</w:t>
      </w:r>
      <w:r w:rsidR="00E20288" w:rsidRPr="00A4728A">
        <w:rPr>
          <w:color w:val="222222"/>
          <w:lang w:val="sr-Cyrl-RS"/>
        </w:rPr>
        <w:t>т</w:t>
      </w:r>
      <w:r w:rsidR="00A4728A" w:rsidRPr="00A4728A">
        <w:rPr>
          <w:color w:val="222222"/>
          <w:lang w:val="sr-Cyrl-RS"/>
        </w:rPr>
        <w:t xml:space="preserve"> у прошлој години</w:t>
      </w:r>
      <w:r w:rsidR="00F5501B" w:rsidRPr="00A4728A">
        <w:rPr>
          <w:color w:val="222222"/>
          <w:lang w:val="sr-Cyrl-RS"/>
        </w:rPr>
        <w:t xml:space="preserve"> </w:t>
      </w:r>
      <w:r w:rsidR="009B69BC">
        <w:rPr>
          <w:color w:val="222222"/>
          <w:lang w:val="sr-Latn-RS"/>
        </w:rPr>
        <w:t>бележи раст од 693</w:t>
      </w:r>
      <w:r w:rsidR="009B69BC">
        <w:rPr>
          <w:color w:val="222222"/>
          <w:lang w:val="sr-Cyrl-RS"/>
        </w:rPr>
        <w:t>.000</w:t>
      </w:r>
      <w:r w:rsidR="00AB35EC" w:rsidRPr="00A4728A">
        <w:rPr>
          <w:color w:val="222222"/>
          <w:lang w:val="sr-Latn-RS"/>
        </w:rPr>
        <w:t xml:space="preserve"> </w:t>
      </w:r>
      <w:r w:rsidR="00EB449D" w:rsidRPr="00A4728A">
        <w:rPr>
          <w:color w:val="222222"/>
          <w:lang w:val="sr-Latn-RS"/>
        </w:rPr>
        <w:t>у односу на претходну годину</w:t>
      </w:r>
      <w:r w:rsidR="00EB449D" w:rsidRPr="00A4728A">
        <w:rPr>
          <w:color w:val="222222"/>
          <w:lang w:val="sr-Cyrl-RS"/>
        </w:rPr>
        <w:t>;</w:t>
      </w:r>
      <w:r w:rsidR="00AB35EC" w:rsidRPr="00A4728A">
        <w:rPr>
          <w:color w:val="222222"/>
          <w:lang w:val="sr-Latn-RS"/>
        </w:rPr>
        <w:t xml:space="preserve"> </w:t>
      </w:r>
      <w:r w:rsidR="00AB35EC" w:rsidRPr="00A4728A">
        <w:rPr>
          <w:color w:val="222222"/>
          <w:lang w:val="sr-Cyrl-RS"/>
        </w:rPr>
        <w:t>број</w:t>
      </w:r>
      <w:r w:rsidR="00AB35EC" w:rsidRPr="00A4728A">
        <w:rPr>
          <w:color w:val="222222"/>
          <w:lang w:val="sr-Latn-RS"/>
        </w:rPr>
        <w:t xml:space="preserve"> </w:t>
      </w:r>
      <w:r w:rsidR="00EB449D" w:rsidRPr="00A4728A">
        <w:rPr>
          <w:color w:val="222222"/>
          <w:lang w:val="sr-Cyrl-RS"/>
        </w:rPr>
        <w:t>захтева</w:t>
      </w:r>
      <w:r w:rsidR="00AB35EC" w:rsidRPr="00A4728A">
        <w:rPr>
          <w:color w:val="222222"/>
          <w:lang w:val="sr-Latn-RS"/>
        </w:rPr>
        <w:t xml:space="preserve"> више </w:t>
      </w:r>
      <w:r w:rsidR="00AB35EC" w:rsidRPr="00A4728A">
        <w:rPr>
          <w:color w:val="222222"/>
          <w:lang w:val="sr-Cyrl-RS"/>
        </w:rPr>
        <w:t xml:space="preserve">је </w:t>
      </w:r>
      <w:r w:rsidR="00AB35EC" w:rsidRPr="00A4728A">
        <w:rPr>
          <w:color w:val="222222"/>
          <w:lang w:val="sr-Latn-RS"/>
        </w:rPr>
        <w:t>него удвоструч</w:t>
      </w:r>
      <w:r w:rsidR="00AB35EC" w:rsidRPr="00A4728A">
        <w:rPr>
          <w:color w:val="222222"/>
          <w:lang w:val="sr-Cyrl-RS"/>
        </w:rPr>
        <w:t>ен</w:t>
      </w:r>
      <w:r w:rsidR="00AB35EC" w:rsidRPr="00A4728A">
        <w:rPr>
          <w:color w:val="222222"/>
          <w:lang w:val="sr-Latn-RS"/>
        </w:rPr>
        <w:t xml:space="preserve"> </w:t>
      </w:r>
      <w:r w:rsidR="00A4728A" w:rsidRPr="00A4728A">
        <w:rPr>
          <w:color w:val="222222"/>
          <w:lang w:val="sr-Cyrl-RS"/>
        </w:rPr>
        <w:t>са</w:t>
      </w:r>
      <w:r w:rsidR="00161C09">
        <w:rPr>
          <w:color w:val="222222"/>
          <w:lang w:val="sr-Latn-RS"/>
        </w:rPr>
        <w:t xml:space="preserve"> 563</w:t>
      </w:r>
      <w:r w:rsidR="00161C09">
        <w:rPr>
          <w:color w:val="222222"/>
          <w:lang w:val="sr-Cyrl-RS"/>
        </w:rPr>
        <w:t>.000</w:t>
      </w:r>
      <w:r w:rsidR="00AB35EC" w:rsidRPr="00A4728A">
        <w:rPr>
          <w:color w:val="222222"/>
          <w:lang w:val="sr-Latn-RS"/>
        </w:rPr>
        <w:t xml:space="preserve"> у 2014. на скоро 1,26 милиона у 2015. </w:t>
      </w:r>
      <w:r w:rsidR="00AB35EC" w:rsidRPr="00A4728A">
        <w:rPr>
          <w:color w:val="222222"/>
          <w:lang w:val="sr-Cyrl-RS"/>
        </w:rPr>
        <w:t xml:space="preserve">На </w:t>
      </w:r>
      <w:r w:rsidR="00AB35EC" w:rsidRPr="00A4728A">
        <w:rPr>
          <w:color w:val="222222"/>
          <w:lang w:val="sr-Latn-RS"/>
        </w:rPr>
        <w:t>повећањ</w:t>
      </w:r>
      <w:r w:rsidR="00AB35EC" w:rsidRPr="00A4728A">
        <w:rPr>
          <w:color w:val="222222"/>
          <w:lang w:val="sr-Cyrl-RS"/>
        </w:rPr>
        <w:t>е</w:t>
      </w:r>
      <w:r w:rsidR="00AB35EC" w:rsidRPr="00A4728A">
        <w:rPr>
          <w:color w:val="222222"/>
          <w:lang w:val="sr-Latn-RS"/>
        </w:rPr>
        <w:t xml:space="preserve"> </w:t>
      </w:r>
      <w:r w:rsidR="00AB35EC" w:rsidRPr="00A4728A">
        <w:rPr>
          <w:color w:val="222222"/>
          <w:lang w:val="sr-Cyrl-RS"/>
        </w:rPr>
        <w:t xml:space="preserve">је највише утицао </w:t>
      </w:r>
      <w:r w:rsidR="00AB35EC" w:rsidRPr="00A4728A">
        <w:rPr>
          <w:color w:val="222222"/>
          <w:lang w:val="sr-Latn-RS"/>
        </w:rPr>
        <w:t>број пријављених кандидата из Сирије, Авганистана и Ирака и у мањој мери из Албаније, и Пакистана</w:t>
      </w:r>
      <w:r w:rsidR="00AB35EC" w:rsidRPr="00A4728A">
        <w:rPr>
          <w:rStyle w:val="FootnoteReference"/>
          <w:color w:val="222222"/>
          <w:lang w:val="sr-Latn-RS"/>
        </w:rPr>
        <w:footnoteReference w:id="12"/>
      </w:r>
      <w:r w:rsidR="00AB35EC" w:rsidRPr="00A4728A">
        <w:rPr>
          <w:color w:val="222222"/>
          <w:lang w:val="sr-Cyrl-RS"/>
        </w:rPr>
        <w:t>.</w:t>
      </w:r>
      <w:r w:rsidR="00AB35EC" w:rsidRPr="00E9795E">
        <w:rPr>
          <w:color w:val="222222"/>
          <w:lang w:val="sr-Latn-RS"/>
        </w:rPr>
        <w:t xml:space="preserve"> </w:t>
      </w:r>
      <w:r w:rsidR="00AD74F5">
        <w:rPr>
          <w:color w:val="222222"/>
          <w:lang w:val="sr-Cyrl-RS"/>
        </w:rPr>
        <w:t>Током прошле</w:t>
      </w:r>
      <w:r w:rsidR="00AD74F5">
        <w:rPr>
          <w:color w:val="222222"/>
          <w:lang w:val="sr-Latn-RS"/>
        </w:rPr>
        <w:t xml:space="preserve"> годин</w:t>
      </w:r>
      <w:r w:rsidR="00AD74F5">
        <w:rPr>
          <w:color w:val="222222"/>
          <w:lang w:val="sr-Cyrl-RS"/>
        </w:rPr>
        <w:t>е</w:t>
      </w:r>
      <w:r w:rsidR="00AB35EC">
        <w:rPr>
          <w:color w:val="222222"/>
          <w:lang w:val="sr-Latn-RS"/>
        </w:rPr>
        <w:t xml:space="preserve"> број тражилаца азила</w:t>
      </w:r>
      <w:r w:rsidR="00AB35EC">
        <w:rPr>
          <w:color w:val="222222"/>
          <w:lang w:val="sr-Cyrl-RS"/>
        </w:rPr>
        <w:t xml:space="preserve"> по </w:t>
      </w:r>
      <w:r w:rsidR="00AB35EC">
        <w:rPr>
          <w:color w:val="222222"/>
          <w:lang w:val="sr-Latn-RS"/>
        </w:rPr>
        <w:t>први пут у ЕУ-28</w:t>
      </w:r>
      <w:r w:rsidR="00AB35EC">
        <w:rPr>
          <w:color w:val="222222"/>
          <w:lang w:val="sr-Cyrl-RS"/>
        </w:rPr>
        <w:t xml:space="preserve"> </w:t>
      </w:r>
      <w:r w:rsidR="008D0195">
        <w:rPr>
          <w:color w:val="222222"/>
          <w:lang w:val="sr-Cyrl-RS"/>
        </w:rPr>
        <w:t xml:space="preserve">- </w:t>
      </w:r>
      <w:r w:rsidR="00AB35EC">
        <w:rPr>
          <w:color w:val="222222"/>
          <w:lang w:val="sr-Cyrl-RS"/>
        </w:rPr>
        <w:t xml:space="preserve">само </w:t>
      </w:r>
      <w:r w:rsidR="00AB35EC">
        <w:rPr>
          <w:color w:val="222222"/>
          <w:lang w:val="sr-Latn-RS"/>
        </w:rPr>
        <w:t>из Сирије порас</w:t>
      </w:r>
      <w:r w:rsidR="00AB35EC">
        <w:rPr>
          <w:color w:val="222222"/>
          <w:lang w:val="sr-Cyrl-RS"/>
        </w:rPr>
        <w:t>тао је</w:t>
      </w:r>
      <w:r w:rsidR="00161C09">
        <w:rPr>
          <w:color w:val="222222"/>
          <w:lang w:val="sr-Latn-RS"/>
        </w:rPr>
        <w:t xml:space="preserve"> на 363</w:t>
      </w:r>
      <w:r w:rsidR="00161C09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, што је 29% од укупног броја. </w:t>
      </w:r>
      <w:r w:rsidR="00AB35EC">
        <w:rPr>
          <w:color w:val="222222"/>
          <w:lang w:val="sr-Cyrl-RS"/>
        </w:rPr>
        <w:t>Г</w:t>
      </w:r>
      <w:r w:rsidR="00AB35EC">
        <w:rPr>
          <w:color w:val="222222"/>
          <w:lang w:val="sr-Latn-RS"/>
        </w:rPr>
        <w:t xml:space="preserve">рађани </w:t>
      </w:r>
      <w:r w:rsidR="00AB35EC">
        <w:rPr>
          <w:color w:val="222222"/>
          <w:lang w:val="sr-Cyrl-RS"/>
        </w:rPr>
        <w:t xml:space="preserve">Авганистана </w:t>
      </w:r>
      <w:r w:rsidR="00AB35EC">
        <w:rPr>
          <w:color w:val="222222"/>
          <w:lang w:val="sr-Latn-RS"/>
        </w:rPr>
        <w:t>чин</w:t>
      </w:r>
      <w:r w:rsidR="00AB35EC">
        <w:rPr>
          <w:color w:val="222222"/>
          <w:lang w:val="sr-Cyrl-RS"/>
        </w:rPr>
        <w:t>е</w:t>
      </w:r>
      <w:r w:rsidR="00AB35EC">
        <w:rPr>
          <w:color w:val="222222"/>
          <w:lang w:val="sr-Latn-RS"/>
        </w:rPr>
        <w:t xml:space="preserve"> 14% од укупн</w:t>
      </w:r>
      <w:r w:rsidR="00AB35EC">
        <w:rPr>
          <w:color w:val="222222"/>
          <w:lang w:val="sr-Cyrl-RS"/>
        </w:rPr>
        <w:t xml:space="preserve">ог броја, </w:t>
      </w:r>
      <w:r w:rsidR="00AB35EC">
        <w:rPr>
          <w:color w:val="222222"/>
          <w:lang w:val="sr-Latn-RS"/>
        </w:rPr>
        <w:t xml:space="preserve">Ирачани 10%, док су Албанци </w:t>
      </w:r>
      <w:r w:rsidR="00AB35EC">
        <w:rPr>
          <w:color w:val="222222"/>
          <w:lang w:val="sr-Cyrl-RS"/>
        </w:rPr>
        <w:t>заступљени са</w:t>
      </w:r>
      <w:r w:rsidR="00AB35EC">
        <w:rPr>
          <w:color w:val="222222"/>
          <w:lang w:val="sr-Latn-RS"/>
        </w:rPr>
        <w:t xml:space="preserve"> 5% </w:t>
      </w:r>
      <w:r w:rsidR="00AB35EC">
        <w:rPr>
          <w:color w:val="222222"/>
          <w:lang w:val="sr-Cyrl-RS"/>
        </w:rPr>
        <w:t>а</w:t>
      </w:r>
      <w:r w:rsidR="00AB35EC">
        <w:rPr>
          <w:color w:val="222222"/>
          <w:lang w:val="sr-Latn-RS"/>
        </w:rPr>
        <w:t xml:space="preserve"> Пакистанац</w:t>
      </w:r>
      <w:r w:rsidR="00AB35EC">
        <w:rPr>
          <w:color w:val="222222"/>
          <w:lang w:val="sr-Cyrl-RS"/>
        </w:rPr>
        <w:t>и</w:t>
      </w:r>
      <w:r w:rsidR="008D0195">
        <w:rPr>
          <w:color w:val="222222"/>
          <w:lang w:val="sr-Latn-RS"/>
        </w:rPr>
        <w:t xml:space="preserve"> 4%. </w:t>
      </w:r>
      <w:r w:rsidR="008D0195">
        <w:rPr>
          <w:color w:val="222222"/>
          <w:lang w:val="sr-Cyrl-RS"/>
        </w:rPr>
        <w:t xml:space="preserve">Највише </w:t>
      </w:r>
      <w:r w:rsidR="00811102">
        <w:rPr>
          <w:color w:val="222222"/>
          <w:lang w:val="sr-Latn-RS"/>
        </w:rPr>
        <w:t>захтева за азил</w:t>
      </w:r>
      <w:r w:rsidR="00811102"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>у ЕУ-28 у 2015.</w:t>
      </w:r>
      <w:r>
        <w:rPr>
          <w:color w:val="222222"/>
          <w:lang w:val="sr-Cyrl-RS"/>
        </w:rPr>
        <w:t xml:space="preserve"> години</w:t>
      </w:r>
      <w:r w:rsidR="008D0195">
        <w:rPr>
          <w:color w:val="222222"/>
          <w:lang w:val="sr-Latn-RS"/>
        </w:rPr>
        <w:t>,</w:t>
      </w:r>
      <w:r w:rsidR="008D0195">
        <w:rPr>
          <w:color w:val="222222"/>
          <w:lang w:val="sr-Cyrl-RS"/>
        </w:rPr>
        <w:t xml:space="preserve"> са </w:t>
      </w:r>
      <w:r w:rsidR="00AB35EC">
        <w:rPr>
          <w:color w:val="222222"/>
          <w:lang w:val="sr-Latn-RS"/>
        </w:rPr>
        <w:t>највећи</w:t>
      </w:r>
      <w:r w:rsidR="008D0195">
        <w:rPr>
          <w:color w:val="222222"/>
          <w:lang w:val="sr-Cyrl-RS"/>
        </w:rPr>
        <w:t>м</w:t>
      </w:r>
      <w:r w:rsidR="00AB35EC">
        <w:rPr>
          <w:color w:val="222222"/>
          <w:lang w:val="sr-Latn-RS"/>
        </w:rPr>
        <w:t xml:space="preserve"> релативни пораст</w:t>
      </w:r>
      <w:r w:rsidR="008D0195">
        <w:rPr>
          <w:color w:val="222222"/>
          <w:lang w:val="sr-Cyrl-RS"/>
        </w:rPr>
        <w:t>ом</w:t>
      </w:r>
      <w:r w:rsidR="00AB35EC">
        <w:rPr>
          <w:color w:val="222222"/>
          <w:lang w:val="sr-Latn-RS"/>
        </w:rPr>
        <w:t xml:space="preserve"> у односу на </w:t>
      </w:r>
      <w:r>
        <w:rPr>
          <w:color w:val="222222"/>
          <w:lang w:val="sr-Cyrl-RS"/>
        </w:rPr>
        <w:t>претходну годину</w:t>
      </w:r>
      <w:r w:rsidR="00AB35EC">
        <w:rPr>
          <w:color w:val="222222"/>
          <w:lang w:val="sr-Latn-RS"/>
        </w:rPr>
        <w:t xml:space="preserve"> </w:t>
      </w:r>
      <w:r w:rsidR="00811102">
        <w:rPr>
          <w:color w:val="222222"/>
          <w:lang w:val="sr-Cyrl-RS"/>
        </w:rPr>
        <w:t xml:space="preserve">долази од држављана </w:t>
      </w:r>
      <w:r w:rsidR="00AB35EC">
        <w:rPr>
          <w:color w:val="222222"/>
          <w:lang w:val="sr-Latn-RS"/>
        </w:rPr>
        <w:t xml:space="preserve"> Ирака. Такође је значајан раст у релативном смислу</w:t>
      </w:r>
      <w:r w:rsidR="00161C09">
        <w:rPr>
          <w:color w:val="222222"/>
          <w:lang w:val="sr-Latn-RS"/>
        </w:rPr>
        <w:t xml:space="preserve"> броја пријављених кандидата из</w:t>
      </w:r>
      <w:r w:rsidR="008D0195">
        <w:rPr>
          <w:color w:val="222222"/>
          <w:lang w:val="sr-Cyrl-RS"/>
        </w:rPr>
        <w:t xml:space="preserve"> </w:t>
      </w:r>
      <w:r w:rsidR="00161C09">
        <w:rPr>
          <w:color w:val="222222"/>
          <w:lang w:val="sr-Latn-RS"/>
        </w:rPr>
        <w:t>Сириј</w:t>
      </w:r>
      <w:r w:rsidR="00161C09">
        <w:rPr>
          <w:color w:val="222222"/>
          <w:lang w:val="sr-Cyrl-RS"/>
        </w:rPr>
        <w:t>е</w:t>
      </w:r>
      <w:r w:rsidR="008D0195">
        <w:rPr>
          <w:color w:val="222222"/>
          <w:lang w:val="sr-Latn-RS"/>
        </w:rPr>
        <w:t xml:space="preserve"> и Иран</w:t>
      </w:r>
      <w:r w:rsidR="00161C09">
        <w:rPr>
          <w:color w:val="222222"/>
          <w:lang w:val="sr-Cyrl-RS"/>
        </w:rPr>
        <w:t>а</w:t>
      </w:r>
      <w:r w:rsidR="008D0195">
        <w:rPr>
          <w:color w:val="222222"/>
          <w:lang w:val="sr-Latn-RS"/>
        </w:rPr>
        <w:t xml:space="preserve">, </w:t>
      </w:r>
      <w:r w:rsidR="00161C09">
        <w:rPr>
          <w:color w:val="222222"/>
          <w:lang w:val="sr-Cyrl-RS"/>
        </w:rPr>
        <w:t xml:space="preserve">а </w:t>
      </w:r>
      <w:r w:rsidR="008D0195">
        <w:rPr>
          <w:color w:val="222222"/>
          <w:lang w:val="sr-Cyrl-RS"/>
        </w:rPr>
        <w:t xml:space="preserve">затим </w:t>
      </w:r>
      <w:r w:rsidR="008D0195">
        <w:rPr>
          <w:color w:val="222222"/>
          <w:lang w:val="sr-Latn-RS"/>
        </w:rPr>
        <w:t>Авганистан</w:t>
      </w:r>
      <w:r w:rsidR="00161C09">
        <w:rPr>
          <w:color w:val="222222"/>
          <w:lang w:val="sr-Cyrl-RS"/>
        </w:rPr>
        <w:t>а</w:t>
      </w:r>
      <w:r w:rsidR="00AB35EC">
        <w:rPr>
          <w:color w:val="222222"/>
          <w:lang w:val="sr-Latn-RS"/>
        </w:rPr>
        <w:t xml:space="preserve"> и Пакист</w:t>
      </w:r>
      <w:r w:rsidR="008D0195">
        <w:rPr>
          <w:color w:val="222222"/>
          <w:lang w:val="sr-Latn-RS"/>
        </w:rPr>
        <w:t>ан</w:t>
      </w:r>
      <w:r w:rsidR="00161C09">
        <w:rPr>
          <w:color w:val="222222"/>
          <w:lang w:val="sr-Cyrl-RS"/>
        </w:rPr>
        <w:t>а</w:t>
      </w:r>
      <w:r w:rsidR="00811102">
        <w:rPr>
          <w:color w:val="222222"/>
          <w:lang w:val="sr-Latn-RS"/>
        </w:rPr>
        <w:t xml:space="preserve">, </w:t>
      </w:r>
      <w:r w:rsidR="008D0195">
        <w:rPr>
          <w:color w:val="222222"/>
          <w:lang w:val="sr-Cyrl-RS"/>
        </w:rPr>
        <w:t xml:space="preserve">као и </w:t>
      </w:r>
      <w:r w:rsidR="008D0195">
        <w:rPr>
          <w:color w:val="222222"/>
          <w:lang w:val="sr-Latn-RS"/>
        </w:rPr>
        <w:t>Етиопиј</w:t>
      </w:r>
      <w:r w:rsidR="00161C09">
        <w:rPr>
          <w:color w:val="222222"/>
          <w:lang w:val="sr-Cyrl-RS"/>
        </w:rPr>
        <w:t>е</w:t>
      </w:r>
      <w:r w:rsidR="00811102">
        <w:rPr>
          <w:color w:val="222222"/>
          <w:lang w:val="sr-Cyrl-RS"/>
        </w:rPr>
        <w:t xml:space="preserve">. </w:t>
      </w:r>
    </w:p>
    <w:p w:rsidR="00906D9C" w:rsidRDefault="00906D9C" w:rsidP="00906D9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5501B" w:rsidRDefault="00906D9C" w:rsidP="00E24339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Према подацима  Еуростата (5. 10. 2016.) б</w:t>
      </w:r>
      <w:r w:rsidR="0037758C">
        <w:rPr>
          <w:color w:val="222222"/>
          <w:lang w:val="sr-Cyrl-RS"/>
        </w:rPr>
        <w:t>рој тражила</w:t>
      </w:r>
      <w:r w:rsidRPr="003932C5">
        <w:rPr>
          <w:color w:val="222222"/>
          <w:lang w:val="sr-Cyrl-RS"/>
        </w:rPr>
        <w:t xml:space="preserve">ца азила у 28 земаља ЕУ </w:t>
      </w:r>
      <w:r w:rsidR="00811102">
        <w:rPr>
          <w:color w:val="222222"/>
          <w:lang w:val="sr-Cyrl-RS"/>
        </w:rPr>
        <w:t xml:space="preserve">током </w:t>
      </w:r>
      <w:r w:rsidRPr="003932C5">
        <w:rPr>
          <w:color w:val="222222"/>
          <w:lang w:val="sr-Cyrl-RS"/>
        </w:rPr>
        <w:t>2015</w:t>
      </w:r>
      <w:r>
        <w:rPr>
          <w:color w:val="222222"/>
          <w:lang w:val="sr-Cyrl-RS"/>
        </w:rPr>
        <w:t>.</w:t>
      </w:r>
      <w:r w:rsidR="00161C09">
        <w:rPr>
          <w:color w:val="222222"/>
          <w:lang w:val="sr-Cyrl-RS"/>
        </w:rPr>
        <w:t xml:space="preserve"> године износио је 1.322.</w:t>
      </w:r>
      <w:r w:rsidRPr="003932C5">
        <w:rPr>
          <w:color w:val="222222"/>
          <w:lang w:val="sr-Cyrl-RS"/>
        </w:rPr>
        <w:t>825, док је у 2014</w:t>
      </w:r>
      <w:r>
        <w:rPr>
          <w:color w:val="222222"/>
          <w:lang w:val="sr-Cyrl-RS"/>
        </w:rPr>
        <w:t>.</w:t>
      </w:r>
      <w:r w:rsidR="00161C09">
        <w:rPr>
          <w:color w:val="222222"/>
          <w:lang w:val="sr-Cyrl-RS"/>
        </w:rPr>
        <w:t xml:space="preserve"> забележено 626.</w:t>
      </w:r>
      <w:r w:rsidRPr="003932C5">
        <w:rPr>
          <w:color w:val="222222"/>
          <w:lang w:val="sr-Cyrl-RS"/>
        </w:rPr>
        <w:t xml:space="preserve">960 захтева. Детаљнија анализа по </w:t>
      </w:r>
      <w:r w:rsidR="008D0195">
        <w:rPr>
          <w:color w:val="222222"/>
          <w:lang w:val="sr-Cyrl-RS"/>
        </w:rPr>
        <w:t xml:space="preserve">одређеним </w:t>
      </w:r>
      <w:r w:rsidRPr="003932C5">
        <w:rPr>
          <w:color w:val="222222"/>
          <w:lang w:val="sr-Cyrl-RS"/>
        </w:rPr>
        <w:t>земљама приказана је у табели у наставку</w:t>
      </w:r>
      <w:r w:rsidR="00E20288">
        <w:rPr>
          <w:color w:val="222222"/>
          <w:lang w:val="sr-Cyrl-RS"/>
        </w:rPr>
        <w:t xml:space="preserve"> текста</w:t>
      </w:r>
      <w:r w:rsidRPr="003932C5">
        <w:rPr>
          <w:color w:val="222222"/>
          <w:lang w:val="sr-Cyrl-RS"/>
        </w:rPr>
        <w:t>.</w:t>
      </w:r>
    </w:p>
    <w:p w:rsidR="00811102" w:rsidRDefault="00811102" w:rsidP="00906D9C">
      <w:pPr>
        <w:rPr>
          <w:lang w:val="sr-Cyrl-RS"/>
        </w:rPr>
      </w:pPr>
    </w:p>
    <w:p w:rsidR="00A144BD" w:rsidRDefault="00A144BD" w:rsidP="00906D9C">
      <w:pPr>
        <w:rPr>
          <w:lang w:val="sr-Cyrl-RS"/>
        </w:rPr>
      </w:pPr>
    </w:p>
    <w:p w:rsidR="00A144BD" w:rsidRDefault="00A144BD" w:rsidP="00906D9C">
      <w:pPr>
        <w:rPr>
          <w:lang w:val="sr-Cyrl-RS"/>
        </w:rPr>
      </w:pPr>
    </w:p>
    <w:p w:rsidR="00A144BD" w:rsidRDefault="00A144BD" w:rsidP="00906D9C">
      <w:pPr>
        <w:rPr>
          <w:lang w:val="sr-Cyrl-RS"/>
        </w:rPr>
      </w:pPr>
    </w:p>
    <w:p w:rsidR="00A144BD" w:rsidRDefault="00A144BD" w:rsidP="00906D9C">
      <w:pPr>
        <w:rPr>
          <w:lang w:val="sr-Cyrl-RS"/>
        </w:rPr>
      </w:pPr>
    </w:p>
    <w:p w:rsidR="00161C09" w:rsidRDefault="00161C09" w:rsidP="00906D9C">
      <w:pPr>
        <w:rPr>
          <w:lang w:val="sr-Cyrl-RS"/>
        </w:rPr>
      </w:pPr>
    </w:p>
    <w:p w:rsidR="00111876" w:rsidRPr="00A144BD" w:rsidRDefault="00111876" w:rsidP="00906D9C">
      <w:pPr>
        <w:rPr>
          <w:lang w:val="ru-RU"/>
        </w:rPr>
      </w:pPr>
    </w:p>
    <w:p w:rsidR="00906D9C" w:rsidRDefault="00906D9C" w:rsidP="00906D9C">
      <w:pPr>
        <w:rPr>
          <w:lang w:val="sr-Cyrl-RS"/>
        </w:rPr>
      </w:pPr>
      <w:r>
        <w:rPr>
          <w:lang w:val="sr-Cyrl-RS"/>
        </w:rPr>
        <w:lastRenderedPageBreak/>
        <w:t>Табела</w:t>
      </w:r>
      <w:r w:rsidR="00516D03">
        <w:rPr>
          <w:lang w:val="sr-Cyrl-RS"/>
        </w:rPr>
        <w:t xml:space="preserve"> 2.:</w:t>
      </w:r>
      <w:r w:rsidR="008D0195">
        <w:rPr>
          <w:lang w:val="sr-Cyrl-RS"/>
        </w:rPr>
        <w:t xml:space="preserve"> </w:t>
      </w:r>
      <w:r>
        <w:rPr>
          <w:lang w:val="sr-Cyrl-RS"/>
        </w:rPr>
        <w:t>Број тражилаца азила у одређеним земљама ЕУ, 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06D9C" w:rsidTr="00A144BD">
        <w:tc>
          <w:tcPr>
            <w:tcW w:w="3081" w:type="dxa"/>
          </w:tcPr>
          <w:p w:rsidR="00906D9C" w:rsidRDefault="00906D9C" w:rsidP="006F4F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Земља/број захтева</w:t>
            </w:r>
            <w:r w:rsidR="006F4F41">
              <w:rPr>
                <w:lang w:val="sr-Cyrl-RS"/>
              </w:rPr>
              <w:t xml:space="preserve"> по годинама</w:t>
            </w:r>
          </w:p>
        </w:tc>
        <w:tc>
          <w:tcPr>
            <w:tcW w:w="3081" w:type="dxa"/>
          </w:tcPr>
          <w:p w:rsidR="00906D9C" w:rsidRDefault="00906D9C" w:rsidP="006F4F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</w:p>
        </w:tc>
        <w:tc>
          <w:tcPr>
            <w:tcW w:w="3081" w:type="dxa"/>
          </w:tcPr>
          <w:p w:rsidR="00906D9C" w:rsidRDefault="00906D9C" w:rsidP="006F4F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</w:tr>
      <w:tr w:rsidR="00906D9C" w:rsidTr="00A144BD">
        <w:tc>
          <w:tcPr>
            <w:tcW w:w="3081" w:type="dxa"/>
          </w:tcPr>
          <w:p w:rsidR="00906D9C" w:rsidRDefault="00906D9C" w:rsidP="00A144B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ЕУ 28 </w:t>
            </w:r>
          </w:p>
        </w:tc>
        <w:tc>
          <w:tcPr>
            <w:tcW w:w="3081" w:type="dxa"/>
          </w:tcPr>
          <w:p w:rsidR="00906D9C" w:rsidRDefault="00906D9C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626 960</w:t>
            </w:r>
          </w:p>
        </w:tc>
        <w:tc>
          <w:tcPr>
            <w:tcW w:w="3081" w:type="dxa"/>
          </w:tcPr>
          <w:p w:rsidR="00906D9C" w:rsidRDefault="00792632" w:rsidP="0079263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</w:t>
            </w:r>
            <w:r w:rsidR="00E35409">
              <w:t xml:space="preserve">  </w:t>
            </w:r>
            <w:r w:rsidR="00906D9C">
              <w:rPr>
                <w:lang w:val="sr-Cyrl-RS"/>
              </w:rPr>
              <w:t>1 322 825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Аустрија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28 035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88 160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Бугарска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11 080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20 365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ВБ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32 785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40 160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Грчка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9 430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13 205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Мађарска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42 755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177 135</w:t>
            </w:r>
          </w:p>
        </w:tc>
      </w:tr>
      <w:tr w:rsidR="00D556B5" w:rsidTr="00A144BD">
        <w:tc>
          <w:tcPr>
            <w:tcW w:w="3081" w:type="dxa"/>
          </w:tcPr>
          <w:p w:rsidR="00D556B5" w:rsidRDefault="00D556B5" w:rsidP="00A144BD">
            <w:pPr>
              <w:rPr>
                <w:lang w:val="sr-Cyrl-RS"/>
              </w:rPr>
            </w:pPr>
            <w:r>
              <w:rPr>
                <w:lang w:val="sr-Cyrl-RS"/>
              </w:rPr>
              <w:t>Немачка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202 645</w:t>
            </w:r>
          </w:p>
        </w:tc>
        <w:tc>
          <w:tcPr>
            <w:tcW w:w="3081" w:type="dxa"/>
          </w:tcPr>
          <w:p w:rsidR="00D556B5" w:rsidRDefault="00D556B5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476 510</w:t>
            </w:r>
          </w:p>
        </w:tc>
      </w:tr>
      <w:tr w:rsidR="00792632" w:rsidTr="00A144BD">
        <w:tc>
          <w:tcPr>
            <w:tcW w:w="3081" w:type="dxa"/>
          </w:tcPr>
          <w:p w:rsidR="00792632" w:rsidRDefault="00792632" w:rsidP="00A144B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Шведска </w:t>
            </w:r>
          </w:p>
        </w:tc>
        <w:tc>
          <w:tcPr>
            <w:tcW w:w="3081" w:type="dxa"/>
          </w:tcPr>
          <w:p w:rsidR="00792632" w:rsidRDefault="00792632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81 180</w:t>
            </w:r>
          </w:p>
        </w:tc>
        <w:tc>
          <w:tcPr>
            <w:tcW w:w="3081" w:type="dxa"/>
          </w:tcPr>
          <w:p w:rsidR="00792632" w:rsidRDefault="00792632" w:rsidP="007926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162 450</w:t>
            </w:r>
          </w:p>
        </w:tc>
      </w:tr>
    </w:tbl>
    <w:p w:rsidR="00161C09" w:rsidRDefault="00161C09" w:rsidP="00906D9C">
      <w:pPr>
        <w:rPr>
          <w:color w:val="333333"/>
          <w:lang w:val="sr-Cyrl-RS"/>
        </w:rPr>
      </w:pPr>
    </w:p>
    <w:p w:rsidR="00906D9C" w:rsidRDefault="00906D9C" w:rsidP="00906D9C">
      <w:pPr>
        <w:rPr>
          <w:color w:val="333333"/>
          <w:lang w:val="sr-Cyrl-RS"/>
        </w:rPr>
      </w:pPr>
      <w:r>
        <w:rPr>
          <w:color w:val="333333"/>
          <w:lang w:val="sr-Cyrl-RS"/>
        </w:rPr>
        <w:t xml:space="preserve">Извор: </w:t>
      </w:r>
      <w:hyperlink r:id="rId12" w:history="1">
        <w:r w:rsidRPr="00351E56">
          <w:rPr>
            <w:rStyle w:val="Hyperlink"/>
            <w:lang w:val="sr-Cyrl-RS"/>
          </w:rPr>
          <w:t>http://appsso.eurostat.ec.europa.eu/nui/show.do?dataset=migr_asyappctza&amp;lang=en</w:t>
        </w:r>
      </w:hyperlink>
    </w:p>
    <w:p w:rsidR="00906D9C" w:rsidRPr="00C5061A" w:rsidRDefault="009C2A77" w:rsidP="00906D9C">
      <w:pPr>
        <w:rPr>
          <w:lang w:val="sr-Cyrl-RS"/>
        </w:rPr>
      </w:pPr>
      <w:hyperlink r:id="rId13" w:history="1">
        <w:r w:rsidR="00906D9C" w:rsidRPr="00351E56">
          <w:rPr>
            <w:rStyle w:val="Hyperlink"/>
            <w:lang w:val="sr-Cyrl-RS"/>
          </w:rPr>
          <w:t>http://ec.europa.eu/eurostat/web/asylum-and-managed-migration/data/database</w:t>
        </w:r>
      </w:hyperlink>
    </w:p>
    <w:p w:rsidR="00906D9C" w:rsidRPr="00906D9C" w:rsidRDefault="00906D9C" w:rsidP="00AB35E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AB35EC" w:rsidRDefault="004B3043" w:rsidP="00AB35E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Важна је статистика захтева за азил који се подносе први пут</w:t>
      </w:r>
      <w:r>
        <w:rPr>
          <w:rStyle w:val="FootnoteReference"/>
          <w:color w:val="222222"/>
          <w:lang w:val="sr-Cyrl-RS"/>
        </w:rPr>
        <w:footnoteReference w:id="13"/>
      </w:r>
      <w:r>
        <w:rPr>
          <w:color w:val="222222"/>
          <w:lang w:val="sr-Cyrl-RS"/>
        </w:rPr>
        <w:t xml:space="preserve">. </w:t>
      </w:r>
      <w:r w:rsidR="00AB35EC">
        <w:rPr>
          <w:color w:val="222222"/>
          <w:lang w:val="sr-Latn-RS"/>
        </w:rPr>
        <w:t xml:space="preserve">Број тражилаца азила </w:t>
      </w:r>
      <w:r w:rsidR="00AB35EC">
        <w:rPr>
          <w:color w:val="222222"/>
          <w:lang w:val="sr-Cyrl-RS"/>
        </w:rPr>
        <w:t xml:space="preserve">по </w:t>
      </w:r>
      <w:r w:rsidR="00AB35EC">
        <w:rPr>
          <w:color w:val="222222"/>
          <w:lang w:val="sr-Latn-RS"/>
        </w:rPr>
        <w:t>први пут у Н</w:t>
      </w:r>
      <w:r w:rsidR="00161C09">
        <w:rPr>
          <w:color w:val="222222"/>
          <w:lang w:val="sr-Latn-RS"/>
        </w:rPr>
        <w:t>емачкој повећао се са 173</w:t>
      </w:r>
      <w:r w:rsidR="00161C09">
        <w:rPr>
          <w:color w:val="222222"/>
          <w:lang w:val="sr-Cyrl-RS"/>
        </w:rPr>
        <w:t>.000</w:t>
      </w:r>
      <w:r w:rsidR="00161C09">
        <w:rPr>
          <w:color w:val="222222"/>
          <w:lang w:val="sr-Latn-RS"/>
        </w:rPr>
        <w:t xml:space="preserve"> у 2014. до 442</w:t>
      </w:r>
      <w:r w:rsidR="00161C09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 у 2015. години. Мађарска, Шведска и Аустрија </w:t>
      </w:r>
      <w:r w:rsidR="00AB35EC">
        <w:rPr>
          <w:color w:val="222222"/>
          <w:lang w:val="sr-Cyrl-RS"/>
        </w:rPr>
        <w:t>такође,</w:t>
      </w:r>
      <w:r w:rsidR="00AB35EC">
        <w:rPr>
          <w:color w:val="222222"/>
          <w:lang w:val="sr-Latn-RS"/>
        </w:rPr>
        <w:t xml:space="preserve"> између 2014. и 2015. године </w:t>
      </w:r>
      <w:r w:rsidR="00AB35EC">
        <w:rPr>
          <w:color w:val="222222"/>
          <w:lang w:val="sr-Cyrl-RS"/>
        </w:rPr>
        <w:t xml:space="preserve">имају </w:t>
      </w:r>
      <w:r w:rsidR="00AB35EC">
        <w:rPr>
          <w:color w:val="222222"/>
          <w:lang w:val="sr-Latn-RS"/>
        </w:rPr>
        <w:t>велика повећања</w:t>
      </w:r>
      <w:r w:rsidR="00161C09">
        <w:rPr>
          <w:color w:val="222222"/>
          <w:lang w:val="sr-Latn-RS"/>
        </w:rPr>
        <w:t xml:space="preserve"> (50</w:t>
      </w:r>
      <w:r w:rsidR="00161C09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 више првих апликаната за азил) у релативном смислу</w:t>
      </w:r>
      <w:r w:rsidR="00AB35EC">
        <w:rPr>
          <w:color w:val="222222"/>
          <w:lang w:val="sr-Cyrl-RS"/>
        </w:rPr>
        <w:t xml:space="preserve">. 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Н</w:t>
      </w:r>
      <w:r w:rsidR="00AB35EC">
        <w:rPr>
          <w:color w:val="222222"/>
          <w:lang w:val="sr-Latn-RS"/>
        </w:rPr>
        <w:t xml:space="preserve">ајвеће повећање броја апликаната први пут </w:t>
      </w:r>
      <w:r w:rsidR="00AB35EC">
        <w:rPr>
          <w:color w:val="222222"/>
          <w:lang w:val="sr-Cyrl-RS"/>
        </w:rPr>
        <w:t xml:space="preserve">забележено је </w:t>
      </w:r>
      <w:r w:rsidR="00AB35EC">
        <w:rPr>
          <w:color w:val="222222"/>
          <w:lang w:val="sr-Latn-RS"/>
        </w:rPr>
        <w:t>у Финској (преко девет пута), Мађарск</w:t>
      </w:r>
      <w:r w:rsidR="00AB35EC">
        <w:rPr>
          <w:color w:val="222222"/>
          <w:lang w:val="sr-Cyrl-RS"/>
        </w:rPr>
        <w:t>ој</w:t>
      </w:r>
      <w:r w:rsidR="00AB35EC">
        <w:rPr>
          <w:color w:val="222222"/>
          <w:lang w:val="sr-Latn-RS"/>
        </w:rPr>
        <w:t xml:space="preserve"> (преко четири пута) и Аустриј</w:t>
      </w:r>
      <w:r w:rsidR="00AB35EC">
        <w:rPr>
          <w:color w:val="222222"/>
          <w:lang w:val="sr-Cyrl-RS"/>
        </w:rPr>
        <w:t>и</w:t>
      </w:r>
      <w:r w:rsidR="00AB35EC">
        <w:rPr>
          <w:color w:val="222222"/>
          <w:lang w:val="sr-Latn-RS"/>
        </w:rPr>
        <w:t xml:space="preserve"> (преко три пута), док је Белгија, Шпанија, Немачка, Луксембург, Ирска и Шведска пријави</w:t>
      </w:r>
      <w:r w:rsidR="00AB35EC">
        <w:rPr>
          <w:color w:val="222222"/>
          <w:lang w:val="sr-Cyrl-RS"/>
        </w:rPr>
        <w:t>ла</w:t>
      </w:r>
      <w:r w:rsidR="00AB35EC">
        <w:rPr>
          <w:color w:val="222222"/>
          <w:lang w:val="sr-Latn-RS"/>
        </w:rPr>
        <w:t xml:space="preserve"> да је број по први пут азиланата више него удвоструч</w:t>
      </w:r>
      <w:r w:rsidR="00AB35EC">
        <w:rPr>
          <w:color w:val="222222"/>
          <w:lang w:val="sr-Cyrl-RS"/>
        </w:rPr>
        <w:t>ен</w:t>
      </w:r>
      <w:r w:rsidR="00AB35EC">
        <w:rPr>
          <w:color w:val="222222"/>
          <w:lang w:val="sr-Latn-RS"/>
        </w:rPr>
        <w:t>. Насупрот томе, Румунија, Хрватска, Литванија, Словенија и Летонија пријави</w:t>
      </w:r>
      <w:r w:rsidR="006F4F41">
        <w:rPr>
          <w:color w:val="222222"/>
          <w:lang w:val="sr-Cyrl-RS"/>
        </w:rPr>
        <w:t>ле су</w:t>
      </w:r>
      <w:r w:rsidR="00AB35EC">
        <w:rPr>
          <w:color w:val="222222"/>
          <w:lang w:val="sr-Latn-RS"/>
        </w:rPr>
        <w:t xml:space="preserve"> мање тражилаца азила </w:t>
      </w:r>
      <w:r w:rsidR="006F4F41">
        <w:rPr>
          <w:color w:val="222222"/>
          <w:lang w:val="sr-Cyrl-RS"/>
        </w:rPr>
        <w:t>(</w:t>
      </w:r>
      <w:r w:rsidR="006F4F41">
        <w:rPr>
          <w:color w:val="222222"/>
          <w:lang w:val="sr-Latn-RS"/>
        </w:rPr>
        <w:t xml:space="preserve">по први пут </w:t>
      </w:r>
      <w:r w:rsidR="006F4F41">
        <w:rPr>
          <w:color w:val="222222"/>
          <w:lang w:val="sr-Cyrl-RS"/>
        </w:rPr>
        <w:t xml:space="preserve">) </w:t>
      </w:r>
      <w:r w:rsidR="006F4F41">
        <w:rPr>
          <w:color w:val="222222"/>
          <w:lang w:val="sr-Latn-RS"/>
        </w:rPr>
        <w:t xml:space="preserve">у 2015. </w:t>
      </w:r>
      <w:r w:rsidR="00AB35EC">
        <w:rPr>
          <w:color w:val="222222"/>
          <w:lang w:val="sr-Latn-RS"/>
        </w:rPr>
        <w:t xml:space="preserve">у </w:t>
      </w:r>
      <w:r w:rsidR="006F4F41">
        <w:rPr>
          <w:color w:val="222222"/>
          <w:lang w:val="sr-Cyrl-RS"/>
        </w:rPr>
        <w:t xml:space="preserve">односу на </w:t>
      </w:r>
      <w:r w:rsidR="006F4F41">
        <w:rPr>
          <w:color w:val="222222"/>
          <w:lang w:val="sr-Latn-RS"/>
        </w:rPr>
        <w:t>2014. годин</w:t>
      </w:r>
      <w:r w:rsidR="006F4F41">
        <w:rPr>
          <w:color w:val="222222"/>
          <w:lang w:val="sr-Cyrl-RS"/>
        </w:rPr>
        <w:t>у</w:t>
      </w:r>
      <w:r w:rsidR="00AB35EC">
        <w:rPr>
          <w:color w:val="222222"/>
          <w:lang w:val="sr-Latn-RS"/>
        </w:rPr>
        <w:t>.</w:t>
      </w:r>
      <w:r w:rsidR="00AB35EC"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 xml:space="preserve">Удео Немачке у ЕУ-28 порастао </w:t>
      </w:r>
      <w:r w:rsidR="006F4F41">
        <w:rPr>
          <w:color w:val="222222"/>
          <w:lang w:val="sr-Cyrl-RS"/>
        </w:rPr>
        <w:t xml:space="preserve">је </w:t>
      </w:r>
      <w:r w:rsidR="00AB35EC">
        <w:rPr>
          <w:color w:val="222222"/>
          <w:lang w:val="sr-Latn-RS"/>
        </w:rPr>
        <w:t xml:space="preserve">са 31% у 2014. на 35% у 2015. години, друге државе чланице ЕУ бележе значајан пораст у уделу у ЕУ 28 </w:t>
      </w:r>
      <w:r w:rsidR="006F4F41">
        <w:rPr>
          <w:color w:val="222222"/>
          <w:lang w:val="sr-Cyrl-RS"/>
        </w:rPr>
        <w:t>као</w:t>
      </w:r>
      <w:r w:rsidR="006F4F41">
        <w:rPr>
          <w:color w:val="222222"/>
          <w:lang w:val="sr-Latn-RS"/>
        </w:rPr>
        <w:t xml:space="preserve"> Мађарска (6,6</w:t>
      </w:r>
      <w:r w:rsidR="006F4F41">
        <w:rPr>
          <w:color w:val="222222"/>
          <w:lang w:val="sr-Cyrl-RS"/>
        </w:rPr>
        <w:t xml:space="preserve">% </w:t>
      </w:r>
      <w:r w:rsidR="00AB35EC">
        <w:rPr>
          <w:color w:val="222222"/>
          <w:lang w:val="sr-Latn-RS"/>
        </w:rPr>
        <w:t>на 13,9%</w:t>
      </w:r>
      <w:r w:rsidR="00161C09">
        <w:rPr>
          <w:color w:val="222222"/>
          <w:lang w:val="sr-Latn-RS"/>
        </w:rPr>
        <w:t xml:space="preserve">), Аустрија (2,2 </w:t>
      </w:r>
      <w:r w:rsidR="00161C09">
        <w:rPr>
          <w:color w:val="222222"/>
          <w:lang w:val="sr-Cyrl-RS"/>
        </w:rPr>
        <w:t>%</w:t>
      </w:r>
      <w:r w:rsidR="00AB35EC">
        <w:rPr>
          <w:color w:val="222222"/>
          <w:lang w:val="sr-Latn-RS"/>
        </w:rPr>
        <w:t xml:space="preserve"> на 6,8%),</w:t>
      </w:r>
      <w:r w:rsidR="006F4F41">
        <w:rPr>
          <w:color w:val="222222"/>
          <w:lang w:val="sr-Cyrl-RS"/>
        </w:rPr>
        <w:t xml:space="preserve"> као</w:t>
      </w:r>
      <w:r>
        <w:rPr>
          <w:color w:val="222222"/>
          <w:lang w:val="sr-Latn-RS"/>
        </w:rPr>
        <w:t xml:space="preserve"> и Финска (1,9</w:t>
      </w:r>
      <w:r>
        <w:rPr>
          <w:color w:val="222222"/>
          <w:lang w:val="sr-Cyrl-RS"/>
        </w:rPr>
        <w:t xml:space="preserve">% </w:t>
      </w:r>
      <w:r w:rsidR="00161C09">
        <w:rPr>
          <w:color w:val="222222"/>
          <w:lang w:val="sr-Cyrl-RS"/>
        </w:rPr>
        <w:t>на</w:t>
      </w:r>
      <w:r w:rsidR="00AB35EC">
        <w:rPr>
          <w:color w:val="222222"/>
          <w:lang w:val="sr-Latn-RS"/>
        </w:rPr>
        <w:t xml:space="preserve"> 2,6%).</w:t>
      </w:r>
    </w:p>
    <w:p w:rsidR="00AB35EC" w:rsidRDefault="00AB35EC" w:rsidP="00AB35E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AB35EC" w:rsidRDefault="00EF67E7" w:rsidP="00AB35EC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Структура </w:t>
      </w:r>
      <w:r>
        <w:rPr>
          <w:color w:val="222222"/>
          <w:lang w:val="sr-Latn-RS"/>
        </w:rPr>
        <w:t>по држављанству</w:t>
      </w:r>
      <w:r w:rsidR="00AB35EC">
        <w:rPr>
          <w:color w:val="222222"/>
          <w:lang w:val="sr-Latn-RS"/>
        </w:rPr>
        <w:t xml:space="preserve"> пет највећих група тражилаца азила</w:t>
      </w:r>
      <w:r w:rsidR="00AB35EC">
        <w:rPr>
          <w:color w:val="222222"/>
          <w:lang w:val="sr-Cyrl-RS"/>
        </w:rPr>
        <w:t xml:space="preserve"> по </w:t>
      </w:r>
      <w:r>
        <w:rPr>
          <w:color w:val="222222"/>
          <w:lang w:val="sr-Latn-RS"/>
        </w:rPr>
        <w:t>први пут</w:t>
      </w:r>
      <w:r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>у чланица</w:t>
      </w:r>
      <w:r>
        <w:rPr>
          <w:color w:val="222222"/>
          <w:lang w:val="sr-Cyrl-RS"/>
        </w:rPr>
        <w:t>ма</w:t>
      </w:r>
      <w:r>
        <w:rPr>
          <w:color w:val="222222"/>
          <w:lang w:val="sr-Latn-RS"/>
        </w:rPr>
        <w:t xml:space="preserve"> ЕУ</w:t>
      </w:r>
      <w:r w:rsidR="00161C09">
        <w:rPr>
          <w:color w:val="222222"/>
          <w:lang w:val="sr-Cyrl-RS"/>
        </w:rPr>
        <w:t xml:space="preserve"> је следећа</w:t>
      </w:r>
      <w:r>
        <w:rPr>
          <w:color w:val="222222"/>
          <w:lang w:val="sr-Cyrl-RS"/>
        </w:rPr>
        <w:t>:</w:t>
      </w:r>
      <w:r w:rsidR="00161C09">
        <w:rPr>
          <w:color w:val="222222"/>
          <w:lang w:val="sr-Latn-RS"/>
        </w:rPr>
        <w:t xml:space="preserve"> Сириј</w:t>
      </w:r>
      <w:r w:rsidR="00AB35EC">
        <w:rPr>
          <w:color w:val="222222"/>
          <w:lang w:val="sr-Latn-RS"/>
        </w:rPr>
        <w:t>ц</w:t>
      </w:r>
      <w:r w:rsidR="00AB35EC">
        <w:rPr>
          <w:color w:val="222222"/>
          <w:lang w:val="sr-Cyrl-RS"/>
        </w:rPr>
        <w:t>и</w:t>
      </w:r>
      <w:r w:rsidR="00AB35EC">
        <w:rPr>
          <w:color w:val="222222"/>
          <w:lang w:val="sr-Latn-RS"/>
        </w:rPr>
        <w:t xml:space="preserve"> чине на</w:t>
      </w:r>
      <w:r w:rsidR="00161C09">
        <w:rPr>
          <w:color w:val="222222"/>
          <w:lang w:val="sr-Latn-RS"/>
        </w:rPr>
        <w:t xml:space="preserve">јвећи број пријављених </w:t>
      </w:r>
      <w:r w:rsidR="00161C09">
        <w:rPr>
          <w:color w:val="222222"/>
          <w:lang w:val="sr-Cyrl-RS"/>
        </w:rPr>
        <w:t>апликаната</w:t>
      </w:r>
      <w:r w:rsidR="00AB35EC">
        <w:rPr>
          <w:color w:val="222222"/>
          <w:lang w:val="sr-Latn-RS"/>
        </w:rPr>
        <w:t xml:space="preserve"> у 12 од 28 земаља чла</w:t>
      </w:r>
      <w:r w:rsidR="00161C09">
        <w:rPr>
          <w:color w:val="222222"/>
          <w:lang w:val="sr-Latn-RS"/>
        </w:rPr>
        <w:t>ница ЕУ, укључујући и 159</w:t>
      </w:r>
      <w:r w:rsidR="00161C09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 апликаната у Немачкој (на</w:t>
      </w:r>
      <w:r w:rsidR="00161C09">
        <w:rPr>
          <w:color w:val="222222"/>
          <w:lang w:val="sr-Latn-RS"/>
        </w:rPr>
        <w:t xml:space="preserve">јвећи број пријављених </w:t>
      </w:r>
      <w:r w:rsidR="00161C09">
        <w:rPr>
          <w:color w:val="222222"/>
          <w:lang w:val="sr-Cyrl-RS"/>
        </w:rPr>
        <w:t>апликаната</w:t>
      </w:r>
      <w:r w:rsidR="00AB35EC">
        <w:rPr>
          <w:color w:val="222222"/>
          <w:lang w:val="sr-Latn-RS"/>
        </w:rPr>
        <w:t xml:space="preserve"> из једне земље у једној од држава чланиц</w:t>
      </w:r>
      <w:r w:rsidR="00161C09">
        <w:rPr>
          <w:color w:val="222222"/>
          <w:lang w:val="sr-Latn-RS"/>
        </w:rPr>
        <w:t>а ЕУ у 2015. години), 64</w:t>
      </w:r>
      <w:r w:rsidR="00161C09">
        <w:rPr>
          <w:color w:val="222222"/>
          <w:lang w:val="sr-Cyrl-RS"/>
        </w:rPr>
        <w:t>.000</w:t>
      </w:r>
      <w:r w:rsidR="00161C09">
        <w:rPr>
          <w:color w:val="222222"/>
          <w:lang w:val="sr-Latn-RS"/>
        </w:rPr>
        <w:t xml:space="preserve"> пријав</w:t>
      </w:r>
      <w:r w:rsidR="00161C09">
        <w:rPr>
          <w:color w:val="222222"/>
          <w:lang w:val="sr-Cyrl-RS"/>
        </w:rPr>
        <w:t>е</w:t>
      </w:r>
      <w:r w:rsidR="00161C09">
        <w:rPr>
          <w:color w:val="222222"/>
          <w:lang w:val="sr-Latn-RS"/>
        </w:rPr>
        <w:t xml:space="preserve"> у Мађарској и 51</w:t>
      </w:r>
      <w:r w:rsidR="00161C09">
        <w:rPr>
          <w:color w:val="222222"/>
          <w:lang w:val="sr-Cyrl-RS"/>
        </w:rPr>
        <w:t xml:space="preserve">.000 </w:t>
      </w:r>
      <w:r w:rsidR="00AB35EC">
        <w:rPr>
          <w:color w:val="222222"/>
          <w:lang w:val="sr-Latn-RS"/>
        </w:rPr>
        <w:t xml:space="preserve">у Шведској. </w:t>
      </w:r>
      <w:r w:rsidR="00AB35EC">
        <w:rPr>
          <w:color w:val="222222"/>
          <w:lang w:val="sr-Cyrl-RS"/>
        </w:rPr>
        <w:t>Такође,</w:t>
      </w:r>
      <w:r w:rsidR="00161C09" w:rsidRPr="008022AD">
        <w:rPr>
          <w:lang w:val="sr-Latn-RS"/>
        </w:rPr>
        <w:t xml:space="preserve"> </w:t>
      </w:r>
      <w:r w:rsidR="00161C09" w:rsidRPr="00161C09">
        <w:rPr>
          <w:lang w:val="ru-RU"/>
        </w:rPr>
        <w:t>од</w:t>
      </w:r>
      <w:r w:rsidR="00161C09" w:rsidRPr="008022AD">
        <w:rPr>
          <w:lang w:val="sr-Latn-RS"/>
        </w:rPr>
        <w:t xml:space="preserve"> </w:t>
      </w:r>
      <w:r w:rsidR="00161C09" w:rsidRPr="00161C09">
        <w:rPr>
          <w:lang w:val="ru-RU"/>
        </w:rPr>
        <w:t>Авганистанаца</w:t>
      </w:r>
      <w:r w:rsidR="00161C09" w:rsidRPr="008022AD">
        <w:rPr>
          <w:lang w:val="sr-Latn-RS"/>
        </w:rPr>
        <w:t xml:space="preserve"> </w:t>
      </w:r>
      <w:r w:rsidR="008022AD">
        <w:rPr>
          <w:lang w:val="ru-RU"/>
        </w:rPr>
        <w:t>је</w:t>
      </w:r>
      <w:r w:rsidR="008022AD" w:rsidRPr="008022AD">
        <w:rPr>
          <w:lang w:val="sr-Latn-RS"/>
        </w:rPr>
        <w:t xml:space="preserve"> </w:t>
      </w:r>
      <w:r w:rsidR="00161C09" w:rsidRPr="00161C09">
        <w:rPr>
          <w:lang w:val="ru-RU"/>
        </w:rPr>
        <w:t>забележано</w:t>
      </w:r>
      <w:r w:rsidR="00161C09" w:rsidRPr="008022AD">
        <w:rPr>
          <w:lang w:val="sr-Latn-RS"/>
        </w:rPr>
        <w:t xml:space="preserve"> </w:t>
      </w:r>
      <w:r w:rsidR="00161C09" w:rsidRPr="00161C09">
        <w:rPr>
          <w:color w:val="222222"/>
          <w:lang w:val="sr-Cyrl-RS"/>
        </w:rPr>
        <w:t>у Мађарској</w:t>
      </w:r>
      <w:r w:rsidR="008022AD">
        <w:rPr>
          <w:color w:val="222222"/>
          <w:lang w:val="sr-Cyrl-RS"/>
        </w:rPr>
        <w:t xml:space="preserve"> </w:t>
      </w:r>
      <w:r w:rsidR="00161C09">
        <w:rPr>
          <w:color w:val="222222"/>
          <w:lang w:val="sr-Latn-RS"/>
        </w:rPr>
        <w:t>4</w:t>
      </w:r>
      <w:r w:rsidR="00161C09">
        <w:rPr>
          <w:color w:val="222222"/>
          <w:lang w:val="sr-Cyrl-RS"/>
        </w:rPr>
        <w:t>6.000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захтева</w:t>
      </w:r>
      <w:r w:rsidR="00161C09">
        <w:rPr>
          <w:color w:val="222222"/>
          <w:lang w:val="sr-Latn-RS"/>
        </w:rPr>
        <w:t>, 41</w:t>
      </w:r>
      <w:r w:rsidR="00161C09">
        <w:rPr>
          <w:color w:val="222222"/>
          <w:lang w:val="sr-Cyrl-RS"/>
        </w:rPr>
        <w:t>.000</w:t>
      </w:r>
      <w:r w:rsidR="00161C09">
        <w:rPr>
          <w:color w:val="222222"/>
          <w:lang w:val="sr-Latn-RS"/>
        </w:rPr>
        <w:t xml:space="preserve"> у Шведској и 31</w:t>
      </w:r>
      <w:r w:rsidR="00161C09">
        <w:rPr>
          <w:color w:val="222222"/>
          <w:lang w:val="sr-Cyrl-RS"/>
        </w:rPr>
        <w:t>.000</w:t>
      </w:r>
      <w:r w:rsidR="008022AD">
        <w:rPr>
          <w:color w:val="222222"/>
          <w:lang w:val="sr-Latn-RS"/>
        </w:rPr>
        <w:t xml:space="preserve"> у Немачкој</w:t>
      </w:r>
      <w:r w:rsidR="008022AD">
        <w:rPr>
          <w:color w:val="222222"/>
          <w:lang w:val="sr-Cyrl-RS"/>
        </w:rPr>
        <w:t>,</w:t>
      </w:r>
      <w:r w:rsidR="00AB35EC">
        <w:rPr>
          <w:rStyle w:val="FootnoteReference"/>
          <w:color w:val="222222"/>
          <w:lang w:val="sr-Latn-RS"/>
        </w:rPr>
        <w:footnoteReference w:id="14"/>
      </w:r>
      <w:r w:rsidR="00AB35EC">
        <w:rPr>
          <w:color w:val="222222"/>
          <w:lang w:val="sr-Cyrl-RS"/>
        </w:rPr>
        <w:t xml:space="preserve"> </w:t>
      </w:r>
      <w:r w:rsidR="008022AD">
        <w:rPr>
          <w:color w:val="222222"/>
          <w:lang w:val="sr-Latn-RS"/>
        </w:rPr>
        <w:t>30</w:t>
      </w:r>
      <w:r w:rsidR="008022AD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 Ирачан</w:t>
      </w:r>
      <w:r w:rsidR="00AB35EC">
        <w:rPr>
          <w:color w:val="222222"/>
          <w:lang w:val="sr-Cyrl-RS"/>
        </w:rPr>
        <w:t>а</w:t>
      </w:r>
      <w:r w:rsidR="008022AD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је</w:t>
      </w:r>
      <w:r w:rsidR="00AB35EC">
        <w:rPr>
          <w:color w:val="222222"/>
          <w:lang w:val="sr-Latn-RS"/>
        </w:rPr>
        <w:t xml:space="preserve"> по</w:t>
      </w:r>
      <w:r w:rsidR="008022AD">
        <w:rPr>
          <w:color w:val="222222"/>
          <w:lang w:val="sr-Latn-RS"/>
        </w:rPr>
        <w:t>днело захтев за азил у Немачкој</w:t>
      </w:r>
      <w:r w:rsidR="008022AD">
        <w:rPr>
          <w:color w:val="222222"/>
          <w:lang w:val="sr-Cyrl-RS"/>
        </w:rPr>
        <w:t>.</w:t>
      </w:r>
      <w:r w:rsidR="008022AD">
        <w:rPr>
          <w:color w:val="222222"/>
          <w:lang w:val="sr-Latn-RS"/>
        </w:rPr>
        <w:t xml:space="preserve"> </w:t>
      </w:r>
      <w:r w:rsidR="008022AD">
        <w:rPr>
          <w:color w:val="222222"/>
          <w:lang w:val="sr-Cyrl-RS"/>
        </w:rPr>
        <w:t>Н</w:t>
      </w:r>
      <w:r w:rsidR="00AB35EC">
        <w:rPr>
          <w:color w:val="222222"/>
          <w:lang w:val="sr-Latn-RS"/>
        </w:rPr>
        <w:t>иједна друга држава чланица ЕУ</w:t>
      </w:r>
      <w:r w:rsidR="00AB35EC">
        <w:rPr>
          <w:color w:val="222222"/>
          <w:lang w:val="sr-Cyrl-RS"/>
        </w:rPr>
        <w:t xml:space="preserve"> није </w:t>
      </w:r>
      <w:r w:rsidR="008022AD">
        <w:rPr>
          <w:color w:val="222222"/>
          <w:lang w:val="sr-Latn-RS"/>
        </w:rPr>
        <w:t xml:space="preserve"> добила 30</w:t>
      </w:r>
      <w:r w:rsidR="008022AD">
        <w:rPr>
          <w:color w:val="222222"/>
          <w:lang w:val="sr-Cyrl-RS"/>
        </w:rPr>
        <w:t>.000</w:t>
      </w:r>
      <w:r w:rsidR="00AB35EC">
        <w:rPr>
          <w:color w:val="222222"/>
          <w:lang w:val="sr-Latn-RS"/>
        </w:rPr>
        <w:t xml:space="preserve"> или више </w:t>
      </w:r>
      <w:r w:rsidR="00AB35EC">
        <w:rPr>
          <w:color w:val="222222"/>
          <w:lang w:val="sr-Cyrl-RS"/>
        </w:rPr>
        <w:t xml:space="preserve">захтева од </w:t>
      </w:r>
      <w:r w:rsidR="00AB35EC">
        <w:rPr>
          <w:color w:val="222222"/>
          <w:lang w:val="sr-Latn-RS"/>
        </w:rPr>
        <w:t>тражилаца азила</w:t>
      </w:r>
      <w:r w:rsidR="00AB35EC"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>једног држављанства у 2015.</w:t>
      </w:r>
      <w:r>
        <w:rPr>
          <w:color w:val="222222"/>
          <w:lang w:val="sr-Cyrl-RS"/>
        </w:rPr>
        <w:t xml:space="preserve"> години</w:t>
      </w:r>
      <w:r w:rsidR="00AB35EC">
        <w:rPr>
          <w:color w:val="222222"/>
          <w:lang w:val="sr-Latn-RS"/>
        </w:rPr>
        <w:t>.</w:t>
      </w:r>
      <w:r w:rsidR="00AB35EC"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 xml:space="preserve">Више од </w:t>
      </w:r>
      <w:r w:rsidR="00AB35EC">
        <w:rPr>
          <w:color w:val="222222"/>
          <w:lang w:val="sr-Cyrl-RS"/>
        </w:rPr>
        <w:t xml:space="preserve">4/5 </w:t>
      </w:r>
      <w:r w:rsidR="00AB35EC">
        <w:rPr>
          <w:color w:val="222222"/>
          <w:lang w:val="sr-Latn-RS"/>
        </w:rPr>
        <w:t>(83%) азиланата</w:t>
      </w:r>
      <w:r w:rsidR="00594C36">
        <w:rPr>
          <w:color w:val="222222"/>
          <w:lang w:val="sr-Cyrl-RS"/>
        </w:rPr>
        <w:t xml:space="preserve"> </w:t>
      </w:r>
      <w:r w:rsidR="00594C36">
        <w:rPr>
          <w:color w:val="222222"/>
          <w:lang w:val="sr-Latn-RS"/>
        </w:rPr>
        <w:t>по први пут</w:t>
      </w:r>
      <w:r w:rsidR="00AB35EC">
        <w:rPr>
          <w:color w:val="222222"/>
          <w:lang w:val="sr-Latn-RS"/>
        </w:rPr>
        <w:t xml:space="preserve"> у ЕУ-28 у 2015. години били су м</w:t>
      </w:r>
      <w:r w:rsidR="00AB35EC">
        <w:rPr>
          <w:color w:val="222222"/>
          <w:lang w:val="sr-Cyrl-RS"/>
        </w:rPr>
        <w:t xml:space="preserve">лађи </w:t>
      </w:r>
      <w:r w:rsidR="00AB35EC">
        <w:rPr>
          <w:color w:val="222222"/>
          <w:lang w:val="sr-Latn-RS"/>
        </w:rPr>
        <w:t xml:space="preserve">од 35 година </w:t>
      </w:r>
      <w:r w:rsidR="00AB35EC">
        <w:rPr>
          <w:color w:val="222222"/>
          <w:lang w:val="sr-Cyrl-RS"/>
        </w:rPr>
        <w:t>а то</w:t>
      </w:r>
      <w:r w:rsidR="00AB35EC">
        <w:rPr>
          <w:color w:val="222222"/>
          <w:lang w:val="sr-Latn-RS"/>
        </w:rPr>
        <w:t xml:space="preserve"> у старосној доби од 18-34 година</w:t>
      </w:r>
      <w:r w:rsidR="00AB35EC">
        <w:rPr>
          <w:color w:val="222222"/>
          <w:lang w:val="sr-Cyrl-RS"/>
        </w:rPr>
        <w:t xml:space="preserve"> који </w:t>
      </w:r>
      <w:r w:rsidR="00AB35EC">
        <w:rPr>
          <w:color w:val="222222"/>
          <w:lang w:val="sr-Latn-RS"/>
        </w:rPr>
        <w:t xml:space="preserve"> учествуј</w:t>
      </w:r>
      <w:r w:rsidR="00AB35EC">
        <w:rPr>
          <w:color w:val="222222"/>
          <w:lang w:val="sr-Cyrl-RS"/>
        </w:rPr>
        <w:t>у</w:t>
      </w:r>
      <w:r w:rsidR="00AB35EC">
        <w:rPr>
          <w:color w:val="222222"/>
          <w:lang w:val="sr-Latn-RS"/>
        </w:rPr>
        <w:t xml:space="preserve"> са нешто више од половине (53%) од укупног броја апликаната, </w:t>
      </w:r>
      <w:r w:rsidR="00AB35EC">
        <w:rPr>
          <w:color w:val="222222"/>
          <w:lang w:val="sr-Cyrl-RS"/>
        </w:rPr>
        <w:t xml:space="preserve">док је </w:t>
      </w:r>
      <w:r w:rsidR="00AB35EC">
        <w:rPr>
          <w:color w:val="222222"/>
          <w:lang w:val="sr-Latn-RS"/>
        </w:rPr>
        <w:t xml:space="preserve">29% </w:t>
      </w:r>
      <w:r w:rsidR="00AB35EC">
        <w:rPr>
          <w:color w:val="222222"/>
          <w:lang w:val="sr-Cyrl-RS"/>
        </w:rPr>
        <w:t xml:space="preserve">захтева </w:t>
      </w:r>
      <w:r w:rsidR="008022AD">
        <w:rPr>
          <w:color w:val="222222"/>
          <w:lang w:val="sr-Cyrl-RS"/>
        </w:rPr>
        <w:t xml:space="preserve">поднесено </w:t>
      </w:r>
      <w:r w:rsidR="00AB35EC">
        <w:rPr>
          <w:color w:val="222222"/>
          <w:lang w:val="sr-Cyrl-RS"/>
        </w:rPr>
        <w:t>од</w:t>
      </w:r>
      <w:r w:rsidR="008022AD">
        <w:rPr>
          <w:color w:val="222222"/>
          <w:lang w:val="sr-Cyrl-RS"/>
        </w:rPr>
        <w:t xml:space="preserve"> стране</w:t>
      </w:r>
      <w:r w:rsidR="00AB35EC">
        <w:rPr>
          <w:color w:val="222222"/>
          <w:lang w:val="sr-Cyrl-RS"/>
        </w:rPr>
        <w:t xml:space="preserve"> </w:t>
      </w:r>
      <w:r w:rsidR="00AB35EC">
        <w:rPr>
          <w:color w:val="222222"/>
          <w:lang w:val="sr-Latn-RS"/>
        </w:rPr>
        <w:t>малолетни</w:t>
      </w:r>
      <w:r w:rsidR="00AB35EC">
        <w:rPr>
          <w:color w:val="222222"/>
          <w:lang w:val="sr-Cyrl-RS"/>
        </w:rPr>
        <w:t>ка,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млађи</w:t>
      </w:r>
      <w:r w:rsidR="00594C36">
        <w:rPr>
          <w:color w:val="222222"/>
          <w:lang w:val="sr-Cyrl-RS"/>
        </w:rPr>
        <w:t>х</w:t>
      </w:r>
      <w:r w:rsidR="00AB35EC">
        <w:rPr>
          <w:color w:val="222222"/>
          <w:lang w:val="sr-Latn-RS"/>
        </w:rPr>
        <w:t xml:space="preserve"> од 18 година</w:t>
      </w:r>
      <w:r w:rsidR="00AB35EC">
        <w:rPr>
          <w:color w:val="222222"/>
          <w:lang w:val="sr-Cyrl-RS"/>
        </w:rPr>
        <w:t xml:space="preserve">  </w:t>
      </w:r>
      <w:r w:rsidR="00AB35EC">
        <w:rPr>
          <w:color w:val="222222"/>
          <w:lang w:val="sr-Latn-RS"/>
        </w:rPr>
        <w:t xml:space="preserve">Ова </w:t>
      </w:r>
      <w:r w:rsidR="00AB35EC">
        <w:rPr>
          <w:color w:val="222222"/>
          <w:lang w:val="sr-Cyrl-RS"/>
        </w:rPr>
        <w:t>старосна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 xml:space="preserve">структура </w:t>
      </w:r>
      <w:r w:rsidR="00AB35EC">
        <w:rPr>
          <w:color w:val="222222"/>
          <w:lang w:val="sr-Latn-RS"/>
        </w:rPr>
        <w:t>азиланата је уобичајен</w:t>
      </w:r>
      <w:r w:rsidR="00AB35EC">
        <w:rPr>
          <w:color w:val="222222"/>
          <w:lang w:val="sr-Cyrl-RS"/>
        </w:rPr>
        <w:t>а</w:t>
      </w:r>
      <w:r w:rsidR="00AB35EC">
        <w:rPr>
          <w:color w:val="222222"/>
          <w:lang w:val="sr-Latn-RS"/>
        </w:rPr>
        <w:t xml:space="preserve"> у скоро свим чланицама </w:t>
      </w:r>
      <w:r w:rsidR="008022AD">
        <w:rPr>
          <w:color w:val="222222"/>
          <w:lang w:val="sr-Latn-RS"/>
        </w:rPr>
        <w:t>ЕУ, са највећим учешћем подноси</w:t>
      </w:r>
      <w:r w:rsidR="008022AD">
        <w:rPr>
          <w:color w:val="222222"/>
          <w:lang w:val="sr-Cyrl-RS"/>
        </w:rPr>
        <w:t>ла</w:t>
      </w:r>
      <w:r w:rsidR="00AB35EC">
        <w:rPr>
          <w:color w:val="222222"/>
          <w:lang w:val="sr-Latn-RS"/>
        </w:rPr>
        <w:t>ц</w:t>
      </w:r>
      <w:r w:rsidR="00AB35EC">
        <w:rPr>
          <w:color w:val="222222"/>
          <w:lang w:val="sr-Cyrl-RS"/>
        </w:rPr>
        <w:t>а</w:t>
      </w:r>
      <w:r w:rsidR="00AB35EC">
        <w:rPr>
          <w:color w:val="222222"/>
          <w:lang w:val="sr-Latn-RS"/>
        </w:rPr>
        <w:t xml:space="preserve"> захтева старости између 18-34. </w:t>
      </w:r>
      <w:r w:rsidR="00AB35EC">
        <w:rPr>
          <w:color w:val="222222"/>
          <w:lang w:val="sr-Cyrl-RS"/>
        </w:rPr>
        <w:t>Постоји</w:t>
      </w:r>
      <w:r w:rsidR="00AB35EC">
        <w:rPr>
          <w:color w:val="222222"/>
          <w:lang w:val="sr-Latn-RS"/>
        </w:rPr>
        <w:t xml:space="preserve"> изузетак од овог обрасца: Пољска </w:t>
      </w:r>
      <w:r w:rsidR="00AB35EC">
        <w:rPr>
          <w:color w:val="222222"/>
          <w:lang w:val="sr-Cyrl-RS"/>
        </w:rPr>
        <w:t xml:space="preserve">је </w:t>
      </w:r>
      <w:r w:rsidR="00AB35EC">
        <w:rPr>
          <w:color w:val="222222"/>
          <w:lang w:val="sr-Latn-RS"/>
        </w:rPr>
        <w:t>пријави</w:t>
      </w:r>
      <w:r w:rsidR="00AB35EC">
        <w:rPr>
          <w:color w:val="222222"/>
          <w:lang w:val="sr-Cyrl-RS"/>
        </w:rPr>
        <w:t>ла</w:t>
      </w:r>
      <w:r w:rsidR="00AB35EC">
        <w:rPr>
          <w:color w:val="222222"/>
          <w:lang w:val="sr-Latn-RS"/>
        </w:rPr>
        <w:t xml:space="preserve"> већи проценат тражилаца азила </w:t>
      </w:r>
      <w:r w:rsidR="00AB35EC">
        <w:rPr>
          <w:color w:val="222222"/>
          <w:lang w:val="sr-Cyrl-RS"/>
        </w:rPr>
        <w:t>који су млађи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Latn-RS"/>
        </w:rPr>
        <w:lastRenderedPageBreak/>
        <w:t xml:space="preserve">од 14 година старости </w:t>
      </w:r>
      <w:r w:rsidR="00AB35EC">
        <w:rPr>
          <w:color w:val="222222"/>
          <w:lang w:val="sr-Cyrl-RS"/>
        </w:rPr>
        <w:t xml:space="preserve">и то </w:t>
      </w:r>
      <w:r w:rsidR="00AB35EC">
        <w:rPr>
          <w:color w:val="222222"/>
          <w:lang w:val="sr-Latn-RS"/>
        </w:rPr>
        <w:t>42</w:t>
      </w:r>
      <w:r w:rsidR="00AB35EC">
        <w:rPr>
          <w:color w:val="222222"/>
          <w:lang w:val="sr-Cyrl-RS"/>
        </w:rPr>
        <w:t>%</w:t>
      </w:r>
      <w:r w:rsidR="00AB35EC">
        <w:rPr>
          <w:color w:val="222222"/>
          <w:lang w:val="sr-Latn-RS"/>
        </w:rPr>
        <w:t>.</w:t>
      </w:r>
      <w:r w:rsidR="00AB35EC">
        <w:rPr>
          <w:color w:val="222222"/>
          <w:lang w:val="sr-Cyrl-RS"/>
        </w:rPr>
        <w:t xml:space="preserve"> </w:t>
      </w:r>
      <w:r w:rsidR="00F5501B">
        <w:rPr>
          <w:color w:val="222222"/>
          <w:lang w:val="sr-Cyrl-RS"/>
        </w:rPr>
        <w:t>Број м</w:t>
      </w:r>
      <w:r w:rsidR="00AB35EC">
        <w:rPr>
          <w:color w:val="222222"/>
          <w:lang w:val="sr-Latn-RS"/>
        </w:rPr>
        <w:t>ало</w:t>
      </w:r>
      <w:r w:rsidR="00AB35EC">
        <w:rPr>
          <w:color w:val="222222"/>
          <w:lang w:val="sr-Cyrl-RS"/>
        </w:rPr>
        <w:t>летника који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долазе</w:t>
      </w:r>
      <w:r w:rsidR="00AB35EC">
        <w:rPr>
          <w:color w:val="222222"/>
          <w:lang w:val="sr-Latn-RS"/>
        </w:rPr>
        <w:t xml:space="preserve"> на териториј</w:t>
      </w:r>
      <w:r w:rsidR="00AB35EC">
        <w:rPr>
          <w:color w:val="222222"/>
          <w:lang w:val="sr-Cyrl-RS"/>
        </w:rPr>
        <w:t xml:space="preserve">у </w:t>
      </w:r>
      <w:r w:rsidR="00AB35EC">
        <w:rPr>
          <w:color w:val="222222"/>
          <w:lang w:val="sr-Latn-RS"/>
        </w:rPr>
        <w:t>чланиц</w:t>
      </w:r>
      <w:r w:rsidR="00AB35EC">
        <w:rPr>
          <w:color w:val="222222"/>
          <w:lang w:val="sr-Cyrl-RS"/>
        </w:rPr>
        <w:t>а</w:t>
      </w:r>
      <w:r w:rsidR="00AB35EC">
        <w:rPr>
          <w:color w:val="222222"/>
          <w:lang w:val="sr-Latn-RS"/>
        </w:rPr>
        <w:t xml:space="preserve"> ЕУ</w:t>
      </w:r>
      <w:r w:rsidR="00AB35EC" w:rsidRPr="00E62B5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 xml:space="preserve">а </w:t>
      </w:r>
      <w:r w:rsidR="00AB35EC">
        <w:rPr>
          <w:color w:val="222222"/>
          <w:lang w:val="sr-Latn-RS"/>
        </w:rPr>
        <w:t>који су се пријавили за азил</w:t>
      </w:r>
      <w:r w:rsidR="00AB35EC">
        <w:rPr>
          <w:color w:val="222222"/>
          <w:lang w:val="sr-Cyrl-RS"/>
        </w:rPr>
        <w:t>, п</w:t>
      </w:r>
      <w:r w:rsidR="00AB35EC">
        <w:rPr>
          <w:color w:val="222222"/>
          <w:lang w:val="sr-Latn-RS"/>
        </w:rPr>
        <w:t>рема последњим рас</w:t>
      </w:r>
      <w:r w:rsidR="00F5501B">
        <w:rPr>
          <w:color w:val="222222"/>
          <w:lang w:val="sr-Latn-RS"/>
        </w:rPr>
        <w:t>положивим подацима, у 2015. би</w:t>
      </w:r>
      <w:r w:rsidR="00F5501B">
        <w:rPr>
          <w:color w:val="222222"/>
          <w:lang w:val="sr-Cyrl-RS"/>
        </w:rPr>
        <w:t>о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 xml:space="preserve">је </w:t>
      </w:r>
      <w:r w:rsidR="008022AD">
        <w:rPr>
          <w:color w:val="222222"/>
          <w:lang w:val="sr-Latn-RS"/>
        </w:rPr>
        <w:t>887</w:t>
      </w:r>
      <w:r w:rsidR="008022AD">
        <w:rPr>
          <w:color w:val="222222"/>
          <w:lang w:val="sr-Cyrl-RS"/>
        </w:rPr>
        <w:t>.000</w:t>
      </w:r>
      <w:r w:rsidR="00F5501B">
        <w:rPr>
          <w:color w:val="222222"/>
          <w:lang w:val="sr-Latn-RS"/>
        </w:rPr>
        <w:t xml:space="preserve"> апликација</w:t>
      </w:r>
      <w:r w:rsidR="00AB35EC">
        <w:rPr>
          <w:color w:val="222222"/>
          <w:lang w:val="sr-Cyrl-RS"/>
        </w:rPr>
        <w:t>,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 xml:space="preserve">од чега је </w:t>
      </w:r>
      <w:r w:rsidR="00AB35EC">
        <w:rPr>
          <w:color w:val="222222"/>
          <w:lang w:val="sr-Latn-RS"/>
        </w:rPr>
        <w:t xml:space="preserve">без пратње </w:t>
      </w:r>
      <w:r w:rsidR="00AB35EC">
        <w:rPr>
          <w:color w:val="222222"/>
          <w:lang w:val="sr-Cyrl-RS"/>
        </w:rPr>
        <w:t xml:space="preserve">одраслих </w:t>
      </w:r>
      <w:r w:rsidR="00AB35EC">
        <w:rPr>
          <w:color w:val="222222"/>
          <w:lang w:val="sr-Latn-RS"/>
        </w:rPr>
        <w:t xml:space="preserve">23,1%. </w:t>
      </w:r>
      <w:r w:rsidR="00F5501B">
        <w:rPr>
          <w:color w:val="222222"/>
          <w:lang w:val="sr-Cyrl-RS"/>
        </w:rPr>
        <w:t>Структура</w:t>
      </w:r>
      <w:r w:rsidR="00AB35EC">
        <w:rPr>
          <w:color w:val="222222"/>
          <w:lang w:val="sr-Latn-RS"/>
        </w:rPr>
        <w:t xml:space="preserve"> азиланата по полу показују да више мушкараца него жена тражи азил</w:t>
      </w:r>
      <w:r w:rsidR="00F5501B">
        <w:rPr>
          <w:color w:val="222222"/>
          <w:lang w:val="sr-Cyrl-RS"/>
        </w:rPr>
        <w:t xml:space="preserve"> </w:t>
      </w:r>
      <w:r w:rsidR="00F5501B">
        <w:rPr>
          <w:color w:val="222222"/>
          <w:lang w:val="sr-Latn-RS"/>
        </w:rPr>
        <w:t>први пут</w:t>
      </w:r>
      <w:r w:rsidR="00AB35EC">
        <w:rPr>
          <w:color w:val="222222"/>
          <w:lang w:val="sr-Latn-RS"/>
        </w:rPr>
        <w:t>. Међу млађим старосним групама, мушкарци чине 55% од укупног броја</w:t>
      </w:r>
      <w:r w:rsidR="008022AD">
        <w:rPr>
          <w:color w:val="222222"/>
          <w:lang w:val="sr-Latn-RS"/>
        </w:rPr>
        <w:t xml:space="preserve"> пријављених </w:t>
      </w:r>
      <w:r w:rsidR="008022AD">
        <w:rPr>
          <w:color w:val="222222"/>
          <w:lang w:val="sr-Cyrl-RS"/>
        </w:rPr>
        <w:t>апликаната</w:t>
      </w:r>
      <w:r w:rsidR="0037758C">
        <w:rPr>
          <w:color w:val="222222"/>
          <w:lang w:val="sr-Latn-RS"/>
        </w:rPr>
        <w:t xml:space="preserve"> у 2015. </w:t>
      </w:r>
      <w:r w:rsidR="0037758C">
        <w:rPr>
          <w:color w:val="222222"/>
          <w:lang w:val="sr-Cyrl-RS"/>
        </w:rPr>
        <w:t>г</w:t>
      </w:r>
      <w:r w:rsidR="00AB35EC">
        <w:rPr>
          <w:color w:val="222222"/>
          <w:lang w:val="sr-Latn-RS"/>
        </w:rPr>
        <w:t>одини</w:t>
      </w:r>
      <w:r w:rsidR="00AB35EC">
        <w:rPr>
          <w:color w:val="222222"/>
          <w:lang w:val="sr-Cyrl-RS"/>
        </w:rPr>
        <w:t xml:space="preserve">. </w:t>
      </w:r>
      <w:r w:rsidR="008022AD">
        <w:rPr>
          <w:color w:val="222222"/>
          <w:lang w:val="sr-Cyrl-RS"/>
        </w:rPr>
        <w:t>Уочен је в</w:t>
      </w:r>
      <w:r w:rsidR="00AB35EC">
        <w:rPr>
          <w:color w:val="222222"/>
          <w:lang w:val="sr-Latn-RS"/>
        </w:rPr>
        <w:t>ећи степен родне неравноправности за азиланат</w:t>
      </w:r>
      <w:r w:rsidR="00AB35EC">
        <w:rPr>
          <w:color w:val="222222"/>
          <w:lang w:val="sr-Cyrl-RS"/>
        </w:rPr>
        <w:t xml:space="preserve">е од </w:t>
      </w:r>
      <w:r w:rsidR="00AB35EC">
        <w:rPr>
          <w:color w:val="222222"/>
          <w:lang w:val="sr-Latn-RS"/>
        </w:rPr>
        <w:t xml:space="preserve">14-17 или 18-34 година, где </w:t>
      </w:r>
      <w:r w:rsidR="008022AD">
        <w:rPr>
          <w:color w:val="222222"/>
          <w:lang w:val="sr-Cyrl-RS"/>
        </w:rPr>
        <w:t>су</w:t>
      </w:r>
      <w:r w:rsidR="00AB35EC">
        <w:rPr>
          <w:color w:val="222222"/>
          <w:lang w:val="sr-Cyrl-RS"/>
        </w:rPr>
        <w:t xml:space="preserve"> око</w:t>
      </w:r>
      <w:r w:rsidR="008022AD">
        <w:rPr>
          <w:color w:val="222222"/>
          <w:lang w:val="sr-Latn-RS"/>
        </w:rPr>
        <w:t xml:space="preserve"> 80% </w:t>
      </w:r>
      <w:r w:rsidR="008022AD">
        <w:rPr>
          <w:color w:val="222222"/>
          <w:lang w:val="sr-Cyrl-RS"/>
        </w:rPr>
        <w:t>апликаната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>мушкарци</w:t>
      </w:r>
      <w:r w:rsidR="00AB35EC">
        <w:rPr>
          <w:color w:val="222222"/>
          <w:lang w:val="sr-Latn-RS"/>
        </w:rPr>
        <w:t xml:space="preserve">, </w:t>
      </w:r>
      <w:r w:rsidR="008022AD">
        <w:rPr>
          <w:color w:val="222222"/>
          <w:lang w:val="sr-Cyrl-RS"/>
        </w:rPr>
        <w:t xml:space="preserve">а </w:t>
      </w:r>
      <w:r w:rsidR="00AB35EC">
        <w:rPr>
          <w:color w:val="222222"/>
          <w:lang w:val="sr-Latn-RS"/>
        </w:rPr>
        <w:t xml:space="preserve">две трећине </w:t>
      </w:r>
      <w:r w:rsidR="00AB35EC">
        <w:rPr>
          <w:color w:val="222222"/>
          <w:lang w:val="sr-Cyrl-RS"/>
        </w:rPr>
        <w:t xml:space="preserve">се односи на </w:t>
      </w:r>
      <w:r w:rsidR="00AB35EC">
        <w:rPr>
          <w:color w:val="222222"/>
          <w:lang w:val="sr-Latn-RS"/>
        </w:rPr>
        <w:t xml:space="preserve">старосну групу 35-64. Широм ЕУ-28, </w:t>
      </w:r>
      <w:r w:rsidR="00AB35EC">
        <w:rPr>
          <w:color w:val="222222"/>
          <w:lang w:val="sr-Cyrl-RS"/>
        </w:rPr>
        <w:t>структура по полу</w:t>
      </w:r>
      <w:r w:rsidR="00AB35EC">
        <w:rPr>
          <w:color w:val="222222"/>
          <w:lang w:val="sr-Latn-RS"/>
        </w:rPr>
        <w:t xml:space="preserve"> </w:t>
      </w:r>
      <w:r w:rsidR="00AB35EC">
        <w:rPr>
          <w:color w:val="222222"/>
          <w:lang w:val="sr-Cyrl-RS"/>
        </w:rPr>
        <w:t xml:space="preserve">је </w:t>
      </w:r>
      <w:r w:rsidR="0037758C">
        <w:rPr>
          <w:color w:val="222222"/>
          <w:lang w:val="sr-Latn-RS"/>
        </w:rPr>
        <w:t xml:space="preserve"> најбољ</w:t>
      </w:r>
      <w:r w:rsidR="0037758C">
        <w:rPr>
          <w:color w:val="222222"/>
          <w:lang w:val="sr-Cyrl-RS"/>
        </w:rPr>
        <w:t>е</w:t>
      </w:r>
      <w:r w:rsidR="00AB35EC">
        <w:rPr>
          <w:color w:val="222222"/>
          <w:lang w:val="sr-Latn-RS"/>
        </w:rPr>
        <w:t xml:space="preserve"> избалансирана за тражи</w:t>
      </w:r>
      <w:r w:rsidR="00AB35EC">
        <w:rPr>
          <w:color w:val="222222"/>
          <w:lang w:val="sr-Cyrl-RS"/>
        </w:rPr>
        <w:t>оце</w:t>
      </w:r>
      <w:r w:rsidR="00AB35EC">
        <w:rPr>
          <w:color w:val="222222"/>
          <w:lang w:val="sr-Latn-RS"/>
        </w:rPr>
        <w:t xml:space="preserve"> азила старости 65 и више година</w:t>
      </w:r>
      <w:r w:rsidR="00AB35EC">
        <w:rPr>
          <w:color w:val="222222"/>
          <w:lang w:val="sr-Cyrl-RS"/>
        </w:rPr>
        <w:t>.</w:t>
      </w:r>
      <w:r w:rsidR="00AB35EC">
        <w:rPr>
          <w:color w:val="222222"/>
          <w:lang w:val="sr-Latn-RS"/>
        </w:rPr>
        <w:t xml:space="preserve"> </w:t>
      </w:r>
    </w:p>
    <w:p w:rsidR="00AB35EC" w:rsidRPr="00A144BD" w:rsidRDefault="00AB35EC" w:rsidP="00A144BD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  <w:r w:rsidRPr="00E62B5C">
        <w:rPr>
          <w:b/>
          <w:color w:val="222222"/>
          <w:lang w:val="sr-Latn-RS"/>
        </w:rPr>
        <w:br/>
      </w:r>
      <w:r>
        <w:rPr>
          <w:color w:val="222222"/>
          <w:lang w:val="sr-Latn-RS"/>
        </w:rPr>
        <w:t xml:space="preserve">Подаци о одлукама о захтевима за азил су доступни за два нивоа, односно </w:t>
      </w:r>
      <w:r>
        <w:rPr>
          <w:color w:val="222222"/>
          <w:lang w:val="sr-Cyrl-RS"/>
        </w:rPr>
        <w:t xml:space="preserve">на нивоу </w:t>
      </w:r>
      <w:r>
        <w:rPr>
          <w:color w:val="222222"/>
          <w:lang w:val="sr-Latn-RS"/>
        </w:rPr>
        <w:t>првостепених одлука и коначни</w:t>
      </w:r>
      <w:r>
        <w:rPr>
          <w:color w:val="222222"/>
          <w:lang w:val="sr-Cyrl-RS"/>
        </w:rPr>
        <w:t>х</w:t>
      </w:r>
      <w:r>
        <w:rPr>
          <w:color w:val="222222"/>
          <w:lang w:val="sr-Latn-RS"/>
        </w:rPr>
        <w:t xml:space="preserve"> одлука донети</w:t>
      </w:r>
      <w:r>
        <w:rPr>
          <w:color w:val="222222"/>
          <w:lang w:val="sr-Cyrl-RS"/>
        </w:rPr>
        <w:t>х</w:t>
      </w:r>
      <w:r>
        <w:rPr>
          <w:color w:val="222222"/>
          <w:lang w:val="sr-Latn-RS"/>
        </w:rPr>
        <w:t xml:space="preserve"> у жалби или разматрањ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У 2015. </w:t>
      </w:r>
      <w:r>
        <w:rPr>
          <w:color w:val="222222"/>
          <w:lang w:val="sr-Cyrl-RS"/>
        </w:rPr>
        <w:t xml:space="preserve">години евидентирано је </w:t>
      </w:r>
      <w:r w:rsidR="008022AD">
        <w:rPr>
          <w:color w:val="222222"/>
          <w:lang w:val="sr-Latn-RS"/>
        </w:rPr>
        <w:t>593</w:t>
      </w:r>
      <w:r w:rsidR="008022AD"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првостепен</w:t>
      </w:r>
      <w:r>
        <w:rPr>
          <w:color w:val="222222"/>
          <w:lang w:val="sr-Cyrl-RS"/>
        </w:rPr>
        <w:t>их</w:t>
      </w:r>
      <w:r>
        <w:rPr>
          <w:color w:val="222222"/>
          <w:lang w:val="sr-Latn-RS"/>
        </w:rPr>
        <w:t xml:space="preserve"> одлук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у свим државама чланицама ЕУ. До сада је највећи број одлука </w:t>
      </w:r>
      <w:r>
        <w:rPr>
          <w:color w:val="222222"/>
          <w:lang w:val="sr-Cyrl-RS"/>
        </w:rPr>
        <w:t xml:space="preserve">забележен </w:t>
      </w:r>
      <w:r>
        <w:rPr>
          <w:color w:val="222222"/>
          <w:lang w:val="sr-Latn-RS"/>
        </w:rPr>
        <w:t xml:space="preserve">у Немачкој 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чине више од 40% укупних одлука </w:t>
      </w:r>
      <w:r>
        <w:rPr>
          <w:color w:val="222222"/>
          <w:lang w:val="sr-Cyrl-RS"/>
        </w:rPr>
        <w:t xml:space="preserve">у </w:t>
      </w:r>
      <w:r>
        <w:rPr>
          <w:color w:val="222222"/>
          <w:lang w:val="sr-Latn-RS"/>
        </w:rPr>
        <w:t xml:space="preserve">првом степену у ЕУ-28 </w:t>
      </w:r>
      <w:r>
        <w:rPr>
          <w:color w:val="222222"/>
          <w:lang w:val="sr-Cyrl-RS"/>
        </w:rPr>
        <w:t xml:space="preserve">које су донете прошле године. </w:t>
      </w:r>
      <w:r w:rsidR="008022AD">
        <w:rPr>
          <w:color w:val="222222"/>
          <w:lang w:val="sr-Latn-RS"/>
        </w:rPr>
        <w:t>Поред тога, било је 183</w:t>
      </w:r>
      <w:r w:rsidR="008022AD"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коначн</w:t>
      </w:r>
      <w:r>
        <w:rPr>
          <w:color w:val="222222"/>
          <w:lang w:val="sr-Cyrl-RS"/>
        </w:rPr>
        <w:t>их</w:t>
      </w:r>
      <w:r>
        <w:rPr>
          <w:color w:val="222222"/>
          <w:lang w:val="sr-Latn-RS"/>
        </w:rPr>
        <w:t xml:space="preserve"> одлук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од чега је </w:t>
      </w:r>
      <w:r>
        <w:rPr>
          <w:color w:val="222222"/>
          <w:lang w:val="sr-Latn-RS"/>
        </w:rPr>
        <w:t xml:space="preserve"> 51%</w:t>
      </w:r>
      <w:r>
        <w:rPr>
          <w:color w:val="222222"/>
          <w:lang w:val="sr-Cyrl-RS"/>
        </w:rPr>
        <w:t xml:space="preserve"> донет</w:t>
      </w:r>
      <w:r w:rsidR="0037758C">
        <w:rPr>
          <w:color w:val="222222"/>
          <w:lang w:val="sr-Cyrl-RS"/>
        </w:rPr>
        <w:t>о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 у Немачкој.</w:t>
      </w:r>
      <w:r w:rsidR="00F5501B">
        <w:rPr>
          <w:rStyle w:val="FootnoteReference"/>
          <w:color w:val="222222"/>
          <w:lang w:val="sr-Latn-RS"/>
        </w:rPr>
        <w:footnoteReference w:id="15"/>
      </w:r>
    </w:p>
    <w:p w:rsidR="000D4934" w:rsidRDefault="000D4934" w:rsidP="00A144BD">
      <w:pPr>
        <w:pStyle w:val="Heading1"/>
        <w:rPr>
          <w:lang w:val="sr-Cyrl-RS"/>
        </w:rPr>
      </w:pPr>
      <w:bookmarkStart w:id="7" w:name="_Toc468797345"/>
      <w:r w:rsidRPr="000D4934">
        <w:rPr>
          <w:lang w:val="sr-Cyrl-RS"/>
        </w:rPr>
        <w:t>Ситуација у Србији</w:t>
      </w:r>
      <w:bookmarkEnd w:id="7"/>
    </w:p>
    <w:p w:rsidR="00A144BD" w:rsidRPr="00A144BD" w:rsidRDefault="00A144BD" w:rsidP="00A144BD">
      <w:pPr>
        <w:pStyle w:val="NoSpacing"/>
        <w:rPr>
          <w:lang w:val="sr-Cyrl-RS"/>
        </w:rPr>
      </w:pPr>
    </w:p>
    <w:p w:rsidR="004971B9" w:rsidRPr="00A21CE8" w:rsidRDefault="000D4934" w:rsidP="004971B9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 w:rsidRPr="00803B36">
        <w:rPr>
          <w:lang w:val="sr-Cyrl-RS"/>
        </w:rPr>
        <w:t>Израда миграционих профила у др</w:t>
      </w:r>
      <w:r w:rsidR="007B2692">
        <w:rPr>
          <w:lang w:val="sr-Cyrl-RS"/>
        </w:rPr>
        <w:t>жавама Ј</w:t>
      </w:r>
      <w:r w:rsidR="0037758C">
        <w:rPr>
          <w:lang w:val="sr-Cyrl-RS"/>
        </w:rPr>
        <w:t>угоисточне Европе почела је</w:t>
      </w:r>
      <w:r w:rsidRPr="00803B36">
        <w:rPr>
          <w:lang w:val="sr-Cyrl-RS"/>
        </w:rPr>
        <w:t xml:space="preserve"> 2008. године, када је Међународна организација за миграције, на препоруку Европске комисије, почела са дефинисањем </w:t>
      </w:r>
      <w:r w:rsidR="00A355B0">
        <w:rPr>
          <w:lang w:val="sr-Cyrl-RS"/>
        </w:rPr>
        <w:t xml:space="preserve">миграционих профила и израдила </w:t>
      </w:r>
      <w:r w:rsidRPr="00803B36">
        <w:rPr>
          <w:lang w:val="sr-Cyrl-RS"/>
        </w:rPr>
        <w:t>Миграциони профил Републике Србије за 2008. и 2009. годину</w:t>
      </w:r>
      <w:r w:rsidR="004C6E35">
        <w:rPr>
          <w:rStyle w:val="FootnoteReference"/>
          <w:lang w:val="sr-Cyrl-RS"/>
        </w:rPr>
        <w:footnoteReference w:id="16"/>
      </w:r>
      <w:r w:rsidRPr="00803B36">
        <w:rPr>
          <w:lang w:val="sr-Cyrl-RS"/>
        </w:rPr>
        <w:t>. Србија је први пут од када се прате миграције на њеној територији самостално припремила  Миграциони профил за 2010. годину, документ који је пружио бољи увид у миграционе токове и њихове узроке, као и Приручник за заштиту права миграната. У области управљања миграцијама у протеклом периоду донет је велики број закона и подзаконских прописа који су својим садржајем усклађени</w:t>
      </w:r>
      <w:r w:rsidR="006B0D00">
        <w:rPr>
          <w:lang w:val="sr-Cyrl-RS"/>
        </w:rPr>
        <w:t xml:space="preserve"> са правним тековинама ЕУ, као ш</w:t>
      </w:r>
      <w:r w:rsidRPr="00803B36">
        <w:rPr>
          <w:lang w:val="sr-Cyrl-RS"/>
        </w:rPr>
        <w:t>то су</w:t>
      </w:r>
      <w:r w:rsidR="006B0D00">
        <w:rPr>
          <w:lang w:val="sr-Cyrl-RS"/>
        </w:rPr>
        <w:t>:</w:t>
      </w:r>
      <w:r w:rsidRPr="00803B36">
        <w:rPr>
          <w:lang w:val="sr-Cyrl-RS"/>
        </w:rPr>
        <w:t xml:space="preserve"> Закон о странцима,</w:t>
      </w:r>
      <w:r w:rsidR="008022AD" w:rsidRPr="008022AD">
        <w:rPr>
          <w:lang w:val="ru-RU"/>
        </w:rPr>
        <w:t xml:space="preserve"> </w:t>
      </w:r>
      <w:r w:rsidR="00CD2245">
        <w:rPr>
          <w:lang w:val="sr-Cyrl-RS"/>
        </w:rPr>
        <w:t>("Сл. гласник РС", бр.97/2008</w:t>
      </w:r>
      <w:r w:rsidR="008022AD" w:rsidRPr="008022AD">
        <w:rPr>
          <w:lang w:val="sr-Cyrl-RS"/>
        </w:rPr>
        <w:t xml:space="preserve">) </w:t>
      </w:r>
      <w:r w:rsidRPr="00803B36">
        <w:rPr>
          <w:lang w:val="sr-Cyrl-RS"/>
        </w:rPr>
        <w:t xml:space="preserve"> Закон о азилу </w:t>
      </w:r>
      <w:r w:rsidR="00C21CAC" w:rsidRPr="00111876">
        <w:rPr>
          <w:lang w:val="ru-RU"/>
        </w:rPr>
        <w:t>("</w:t>
      </w:r>
      <w:r w:rsidR="00CD2245">
        <w:rPr>
          <w:lang w:val="sr-Cyrl-RS"/>
        </w:rPr>
        <w:t>Сл. гласник РС</w:t>
      </w:r>
      <w:r w:rsidR="00C21CAC" w:rsidRPr="00111876">
        <w:rPr>
          <w:lang w:val="ru-RU"/>
        </w:rPr>
        <w:t xml:space="preserve">", </w:t>
      </w:r>
      <w:r w:rsidR="00C21CAC" w:rsidRPr="00C21CAC">
        <w:rPr>
          <w:lang w:val="sr-Cyrl-RS"/>
        </w:rPr>
        <w:t>бр</w:t>
      </w:r>
      <w:r w:rsidR="00511ADB" w:rsidRPr="00111876">
        <w:rPr>
          <w:lang w:val="ru-RU"/>
        </w:rPr>
        <w:t>.</w:t>
      </w:r>
      <w:r w:rsidR="00C21CAC" w:rsidRPr="00111876">
        <w:rPr>
          <w:lang w:val="ru-RU"/>
        </w:rPr>
        <w:t>109/2007)</w:t>
      </w:r>
      <w:r w:rsidR="00C21CAC">
        <w:rPr>
          <w:lang w:val="sr-Cyrl-RS"/>
        </w:rPr>
        <w:t xml:space="preserve"> </w:t>
      </w:r>
      <w:r w:rsidRPr="00803B36">
        <w:rPr>
          <w:lang w:val="sr-Cyrl-RS"/>
        </w:rPr>
        <w:t>и Закон о заштити државне границе</w:t>
      </w:r>
      <w:r w:rsidR="00CD2245">
        <w:rPr>
          <w:lang w:val="sr-Cyrl-RS"/>
        </w:rPr>
        <w:t xml:space="preserve"> </w:t>
      </w:r>
      <w:r w:rsidR="00CD2245" w:rsidRPr="00111876">
        <w:rPr>
          <w:lang w:val="ru-RU"/>
        </w:rPr>
        <w:t>("</w:t>
      </w:r>
      <w:r w:rsidR="00CD2245">
        <w:rPr>
          <w:lang w:val="sr-Cyrl-RS"/>
        </w:rPr>
        <w:t>Сл. г</w:t>
      </w:r>
      <w:r w:rsidR="00CD2245" w:rsidRPr="00C21CAC">
        <w:rPr>
          <w:lang w:val="sr-Cyrl-RS"/>
        </w:rPr>
        <w:t xml:space="preserve">ласник РС </w:t>
      </w:r>
      <w:r w:rsidR="00CD2245" w:rsidRPr="00111876">
        <w:rPr>
          <w:lang w:val="ru-RU"/>
        </w:rPr>
        <w:t xml:space="preserve">", </w:t>
      </w:r>
      <w:r w:rsidR="00CD2245" w:rsidRPr="00C21CAC">
        <w:rPr>
          <w:lang w:val="sr-Cyrl-RS"/>
        </w:rPr>
        <w:t>бр</w:t>
      </w:r>
      <w:r w:rsidR="00CD2245" w:rsidRPr="00111876">
        <w:rPr>
          <w:lang w:val="ru-RU"/>
        </w:rPr>
        <w:t>.</w:t>
      </w:r>
      <w:r w:rsidR="00CD2245">
        <w:rPr>
          <w:lang w:val="ru-RU"/>
        </w:rPr>
        <w:t xml:space="preserve">97/2008, 20/2015 </w:t>
      </w:r>
      <w:r w:rsidR="00CD2245" w:rsidRPr="00111876">
        <w:rPr>
          <w:lang w:val="ru-RU"/>
        </w:rPr>
        <w:t>)</w:t>
      </w:r>
      <w:r w:rsidR="00CD2245">
        <w:rPr>
          <w:lang w:val="ru-RU"/>
        </w:rPr>
        <w:t>, Закон о управљању миграцијама ("Сл. гласник РС", бр.107/2012</w:t>
      </w:r>
      <w:r w:rsidR="00CD2245" w:rsidRPr="00CD2245">
        <w:rPr>
          <w:lang w:val="ru-RU"/>
        </w:rPr>
        <w:t>)</w:t>
      </w:r>
      <w:r w:rsidR="006B0D00">
        <w:rPr>
          <w:lang w:val="sr-Cyrl-RS"/>
        </w:rPr>
        <w:t xml:space="preserve">. </w:t>
      </w:r>
      <w:r w:rsidR="006B0D00" w:rsidRPr="00E516B1">
        <w:rPr>
          <w:lang w:val="sr-Cyrl-RS"/>
        </w:rPr>
        <w:t>У последњој деценији усвојене су и различите стратегије којима се дефинишу</w:t>
      </w:r>
      <w:r w:rsidR="006B0D00">
        <w:rPr>
          <w:lang w:val="sr-Cyrl-RS"/>
        </w:rPr>
        <w:t xml:space="preserve"> </w:t>
      </w:r>
      <w:r w:rsidR="006B0D00" w:rsidRPr="00E516B1">
        <w:rPr>
          <w:lang w:val="sr-Cyrl-RS"/>
        </w:rPr>
        <w:t xml:space="preserve">политике управљања миграцијама. Кровном се може сматрати </w:t>
      </w:r>
      <w:r w:rsidR="006B0D00" w:rsidRPr="00D16403">
        <w:rPr>
          <w:b/>
          <w:lang w:val="sr-Cyrl-RS"/>
        </w:rPr>
        <w:t>Стратегија за управљање миграцијама</w:t>
      </w:r>
      <w:r w:rsidR="006B0D00" w:rsidRPr="00E516B1">
        <w:rPr>
          <w:lang w:val="sr-Cyrl-RS"/>
        </w:rPr>
        <w:t xml:space="preserve"> (</w:t>
      </w:r>
      <w:r w:rsidR="00CD2245">
        <w:rPr>
          <w:lang w:val="sr-Cyrl-RS"/>
        </w:rPr>
        <w:t>''</w:t>
      </w:r>
      <w:r w:rsidR="006B0D00" w:rsidRPr="00E516B1">
        <w:rPr>
          <w:lang w:val="sr-Cyrl-RS"/>
        </w:rPr>
        <w:t>Сл. гласник РС</w:t>
      </w:r>
      <w:r w:rsidR="00CD2245">
        <w:rPr>
          <w:lang w:val="sr-Cyrl-RS"/>
        </w:rPr>
        <w:t>'',</w:t>
      </w:r>
      <w:r w:rsidR="006B0D00" w:rsidRPr="00E516B1">
        <w:rPr>
          <w:lang w:val="sr-Cyrl-RS"/>
        </w:rPr>
        <w:t xml:space="preserve"> бр. 59/2009)</w:t>
      </w:r>
      <w:r w:rsidR="006B0D00">
        <w:rPr>
          <w:rStyle w:val="FootnoteReference"/>
          <w:lang w:val="sr-Cyrl-RS"/>
        </w:rPr>
        <w:footnoteReference w:id="17"/>
      </w:r>
      <w:r w:rsidR="006B0D00" w:rsidRPr="00E516B1">
        <w:rPr>
          <w:lang w:val="sr-Cyrl-RS"/>
        </w:rPr>
        <w:t>, која је претходила Закону о</w:t>
      </w:r>
      <w:r w:rsidR="006B0D00">
        <w:rPr>
          <w:lang w:val="sr-Cyrl-RS"/>
        </w:rPr>
        <w:t xml:space="preserve"> </w:t>
      </w:r>
      <w:r w:rsidR="006B0D00" w:rsidRPr="00E516B1">
        <w:rPr>
          <w:lang w:val="sr-Cyrl-RS"/>
        </w:rPr>
        <w:t>управљању миграцијама и која је дефинисала кључне циљеве и мере у области</w:t>
      </w:r>
      <w:r w:rsidR="006B0D00">
        <w:rPr>
          <w:lang w:val="sr-Cyrl-RS"/>
        </w:rPr>
        <w:t xml:space="preserve"> </w:t>
      </w:r>
      <w:r w:rsidR="006B0D00" w:rsidRPr="00E516B1">
        <w:rPr>
          <w:lang w:val="sr-Cyrl-RS"/>
        </w:rPr>
        <w:t>нерегуларних миграција и политике азила.</w:t>
      </w:r>
      <w:r w:rsidR="00D16403">
        <w:rPr>
          <w:lang w:val="sr-Cyrl-RS"/>
        </w:rPr>
        <w:t xml:space="preserve"> </w:t>
      </w:r>
      <w:r w:rsidRPr="00803B36">
        <w:rPr>
          <w:lang w:val="sr-Cyrl-RS"/>
        </w:rPr>
        <w:t xml:space="preserve">Затим, </w:t>
      </w:r>
      <w:r w:rsidRPr="00D16403">
        <w:rPr>
          <w:b/>
          <w:lang w:val="sr-Cyrl-RS"/>
        </w:rPr>
        <w:t>Стратегија супротстављања илегалним миграцијамa у Републици Србији за период 2009–2014.</w:t>
      </w:r>
      <w:r w:rsidRPr="00511ADB">
        <w:rPr>
          <w:b/>
          <w:lang w:val="sr-Cyrl-RS"/>
        </w:rPr>
        <w:t xml:space="preserve"> године</w:t>
      </w:r>
      <w:r w:rsidRPr="00803B36">
        <w:rPr>
          <w:lang w:val="sr-Cyrl-RS"/>
        </w:rPr>
        <w:t xml:space="preserve"> заснована је на Националном програму за интеграцију у Европску унију, усвојеној Стратегији интегрисаног управљања границом у Републици Србији и текућим реформским </w:t>
      </w:r>
      <w:r w:rsidRPr="00803B36">
        <w:rPr>
          <w:lang w:val="sr-Cyrl-RS"/>
        </w:rPr>
        <w:lastRenderedPageBreak/>
        <w:t xml:space="preserve">процесима у земљи. Наводи се да </w:t>
      </w:r>
      <w:r w:rsidRPr="00803B36">
        <w:rPr>
          <w:bCs/>
          <w:lang w:val="sr-Cyrl-RS"/>
        </w:rPr>
        <w:t xml:space="preserve">Република Србија улаже значајне напоре на пољу супротстављања илегалним миграцијама, са и преко своје територије и једна је од првих у региону која је успоставила ефикасне институционалне механизме у борби против трговине људима. </w:t>
      </w:r>
      <w:r w:rsidRPr="00803B36">
        <w:rPr>
          <w:lang w:val="sr-Cyrl-RS"/>
        </w:rPr>
        <w:t>Овом стратегијом Република Србија утврђује политику у области успостављања ефикасног система супротстављања илегалним миграцијама, одређује оквире за израду планова имплементације, дефинише улоге и одговорност државних субјеката, идентификује стратегијске циљеве</w:t>
      </w:r>
      <w:r w:rsidRPr="00803B36">
        <w:rPr>
          <w:color w:val="339966"/>
          <w:lang w:val="sr-Cyrl-RS"/>
        </w:rPr>
        <w:t xml:space="preserve"> </w:t>
      </w:r>
      <w:r w:rsidRPr="00803B36">
        <w:rPr>
          <w:lang w:val="sr-Cyrl-RS"/>
        </w:rPr>
        <w:t>и утврђује основне правце акције у процесу успостављања и остваривања дугорочне одрживости и ефикасности система супротстављања илегалним миграцијама.</w:t>
      </w:r>
      <w:r w:rsidR="004971B9">
        <w:rPr>
          <w:lang w:val="sr-Cyrl-RS"/>
        </w:rPr>
        <w:t xml:space="preserve"> </w:t>
      </w:r>
      <w:r w:rsidR="004971B9" w:rsidRPr="00A21CE8">
        <w:rPr>
          <w:lang w:val="sr-Cyrl-RS"/>
        </w:rPr>
        <w:t>Иако је развој овог оквира на међународном плану, па и у Србији</w:t>
      </w:r>
      <w:r w:rsidR="00CD2245">
        <w:rPr>
          <w:lang w:val="sr-Cyrl-RS"/>
        </w:rPr>
        <w:t>,</w:t>
      </w:r>
      <w:r w:rsidR="004971B9" w:rsidRPr="00A21CE8">
        <w:rPr>
          <w:lang w:val="sr-Cyrl-RS"/>
        </w:rPr>
        <w:t xml:space="preserve"> мотивисан потребом да се кретање становништва на најбољи начин искористи за развој друштва, чини се да политике у</w:t>
      </w:r>
      <w:r w:rsidR="00A21CE8" w:rsidRPr="00A21CE8">
        <w:rPr>
          <w:lang w:val="sr-Cyrl-RS"/>
        </w:rPr>
        <w:t xml:space="preserve">прављања миграцијама имају </w:t>
      </w:r>
      <w:r w:rsidR="004971B9" w:rsidRPr="00A21CE8">
        <w:rPr>
          <w:lang w:val="sr-Cyrl-RS"/>
        </w:rPr>
        <w:t xml:space="preserve">ограничен домет. </w:t>
      </w:r>
    </w:p>
    <w:p w:rsidR="000D4934" w:rsidRPr="00803B36" w:rsidRDefault="000D4934" w:rsidP="00D16403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6B0D00" w:rsidRPr="00AB35EC" w:rsidRDefault="005A6854" w:rsidP="005A6854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>О</w:t>
      </w:r>
      <w:r w:rsidR="000D4934" w:rsidRPr="00803B36">
        <w:rPr>
          <w:lang w:val="sr-Cyrl-RS"/>
        </w:rPr>
        <w:t xml:space="preserve">длукама Владе Републике Србије </w:t>
      </w:r>
      <w:r>
        <w:rPr>
          <w:lang w:val="sr-Cyrl-RS"/>
        </w:rPr>
        <w:t>основана су тела:</w:t>
      </w:r>
      <w:r w:rsidR="000D4934" w:rsidRPr="00803B36">
        <w:rPr>
          <w:lang w:val="sr-Cyrl-RS"/>
        </w:rPr>
        <w:t xml:space="preserve"> Савет за интеграцију повратника по основу споразума о реадмисији, Савет за борбу против трговине људима и Савет за супростављање илегалним миграцијама. Такође, 2012. године донет је Закон о управљању миграцијама </w:t>
      </w:r>
      <w:r w:rsidR="000D4934" w:rsidRPr="00E516B1">
        <w:rPr>
          <w:lang w:val="sr-Cyrl-RS"/>
        </w:rPr>
        <w:t>(</w:t>
      </w:r>
      <w:r w:rsidR="00CD2245">
        <w:rPr>
          <w:lang w:val="sr-Cyrl-RS"/>
        </w:rPr>
        <w:t>''</w:t>
      </w:r>
      <w:r w:rsidR="000D4934" w:rsidRPr="00E516B1">
        <w:rPr>
          <w:lang w:val="sr-Cyrl-RS"/>
        </w:rPr>
        <w:t>Сл. гласник РС</w:t>
      </w:r>
      <w:r w:rsidR="00CD2245">
        <w:rPr>
          <w:lang w:val="sr-Cyrl-RS"/>
        </w:rPr>
        <w:t>'',</w:t>
      </w:r>
      <w:r w:rsidR="000D4934" w:rsidRPr="00E516B1">
        <w:rPr>
          <w:lang w:val="sr-Cyrl-RS"/>
        </w:rPr>
        <w:t xml:space="preserve"> 107/2012)</w:t>
      </w:r>
      <w:r w:rsidR="00A972C4">
        <w:rPr>
          <w:rStyle w:val="FootnoteReference"/>
          <w:lang w:val="sr-Cyrl-RS"/>
        </w:rPr>
        <w:footnoteReference w:id="18"/>
      </w:r>
      <w:r w:rsidR="000D4934" w:rsidRPr="00E516B1">
        <w:rPr>
          <w:lang w:val="sr-Cyrl-RS"/>
        </w:rPr>
        <w:t xml:space="preserve"> </w:t>
      </w:r>
      <w:r w:rsidR="000D4934" w:rsidRPr="00803B36">
        <w:rPr>
          <w:lang w:val="sr-Cyrl-RS"/>
        </w:rPr>
        <w:t xml:space="preserve">који представља нормативни оквир за планско и организовано праћење спољних и унутрашњих миграционих кретања, креирање и спровођење јасне миграционе политике, као и друга питања од значаја за систем управљања миграцијама. Овим Законом утврђују се нове надлежности Комесаријата за избеглице, које се односе на област управљања миграцијама и предвиђа да Комесаријат за избеглице установљен Законом о избеглицама наставља рад под називом </w:t>
      </w:r>
      <w:r w:rsidR="000D4934" w:rsidRPr="00803B36">
        <w:rPr>
          <w:b/>
          <w:lang w:val="sr-Cyrl-RS"/>
        </w:rPr>
        <w:t>Комесаријат за избеглице и миграције</w:t>
      </w:r>
      <w:r w:rsidR="000D4934" w:rsidRPr="00803B36">
        <w:rPr>
          <w:lang w:val="sr-Cyrl-RS"/>
        </w:rPr>
        <w:t xml:space="preserve">. </w:t>
      </w:r>
      <w:r>
        <w:rPr>
          <w:lang w:val="sr-Cyrl-RS"/>
        </w:rPr>
        <w:t xml:space="preserve">Законом се </w:t>
      </w:r>
      <w:r w:rsidR="000D4934" w:rsidRPr="00803B36">
        <w:rPr>
          <w:lang w:val="sr-Cyrl-RS"/>
        </w:rPr>
        <w:t>уређује образовање Савета за миграције на територији</w:t>
      </w:r>
      <w:r>
        <w:rPr>
          <w:lang w:val="sr-Cyrl-RS"/>
        </w:rPr>
        <w:t xml:space="preserve"> аутономне покрајине и јединицама </w:t>
      </w:r>
      <w:r w:rsidR="000D4934" w:rsidRPr="00803B36">
        <w:rPr>
          <w:lang w:val="sr-Cyrl-RS"/>
        </w:rPr>
        <w:t>локалне самоуправе, ради обављања саветодавних послова који се односе на управљање миграцијама и праћење и извештавање Комесаријата о миграционим кретањима у свим областима.</w:t>
      </w:r>
      <w:r w:rsidR="0038359A">
        <w:rPr>
          <w:lang w:val="sr-Cyrl-RS"/>
        </w:rPr>
        <w:t xml:space="preserve"> </w:t>
      </w:r>
      <w:r w:rsidR="006B0D00" w:rsidRPr="00AB35EC">
        <w:rPr>
          <w:lang w:val="sr-Cyrl-RS"/>
        </w:rPr>
        <w:t>И други органи државне управе обављају активности у области регулисања миграција, а у области регулисања међународне заштите и с</w:t>
      </w:r>
      <w:r w:rsidR="00BD5DF8">
        <w:rPr>
          <w:lang w:val="sr-Cyrl-RS"/>
        </w:rPr>
        <w:t>узбијања нерегуларних миграција</w:t>
      </w:r>
      <w:r w:rsidR="006B0D00" w:rsidRPr="00AB35EC">
        <w:rPr>
          <w:lang w:val="sr-Cyrl-RS"/>
        </w:rPr>
        <w:t xml:space="preserve"> посебно значајну улогу има Министарство унутрашњих послова.</w:t>
      </w:r>
    </w:p>
    <w:p w:rsidR="00A972C4" w:rsidRPr="00111876" w:rsidRDefault="00595061" w:rsidP="00AB35EC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ru-RU"/>
        </w:rPr>
      </w:pPr>
      <w:r w:rsidRPr="00AB35EC">
        <w:rPr>
          <w:rFonts w:ascii="Arial" w:hAnsi="Arial" w:cs="Arial"/>
          <w:sz w:val="20"/>
          <w:szCs w:val="20"/>
          <w:lang w:val="sr-Cyrl-RS"/>
        </w:rPr>
        <w:t>Поводом захтева за азил и престанка тог права</w:t>
      </w:r>
      <w:r w:rsidRPr="00AB35EC">
        <w:rPr>
          <w:rFonts w:ascii="Arial" w:hAnsi="Arial" w:cs="Arial"/>
          <w:b/>
          <w:sz w:val="20"/>
          <w:szCs w:val="20"/>
          <w:lang w:val="sr-Cyrl-RS"/>
        </w:rPr>
        <w:t>, </w:t>
      </w:r>
      <w:r w:rsidRPr="00AB35EC">
        <w:rPr>
          <w:rStyle w:val="Strong"/>
          <w:rFonts w:ascii="Arial" w:hAnsi="Arial" w:cs="Arial"/>
          <w:b w:val="0"/>
          <w:sz w:val="20"/>
          <w:szCs w:val="20"/>
          <w:lang w:val="sr-Cyrl-RS"/>
        </w:rPr>
        <w:t>у првом степену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поступак води и све одлуке доноси надлежна организациона јединица </w:t>
      </w:r>
      <w:r w:rsidR="00BD5DF8">
        <w:rPr>
          <w:rFonts w:ascii="Arial" w:hAnsi="Arial" w:cs="Arial"/>
          <w:sz w:val="20"/>
          <w:szCs w:val="20"/>
          <w:lang w:val="sr-Cyrl-RS"/>
        </w:rPr>
        <w:t>Министарства унутрашњих послова -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Канцеларија за азил.</w:t>
      </w:r>
      <w:r w:rsidRPr="00111876">
        <w:rPr>
          <w:rFonts w:ascii="Arial" w:hAnsi="Arial" w:cs="Arial"/>
          <w:sz w:val="20"/>
          <w:szCs w:val="20"/>
          <w:lang w:val="ru-RU"/>
        </w:rPr>
        <w:t xml:space="preserve"> </w:t>
      </w:r>
      <w:r w:rsidRPr="00AB35EC">
        <w:rPr>
          <w:rFonts w:ascii="Arial" w:hAnsi="Arial" w:cs="Arial"/>
          <w:sz w:val="20"/>
          <w:szCs w:val="20"/>
          <w:lang w:val="sr-Cyrl-RS"/>
        </w:rPr>
        <w:t>Комисија за азил одлучује </w:t>
      </w:r>
      <w:r w:rsidRPr="00AB35EC">
        <w:rPr>
          <w:rStyle w:val="Strong"/>
          <w:rFonts w:ascii="Arial" w:hAnsi="Arial" w:cs="Arial"/>
          <w:b w:val="0"/>
          <w:sz w:val="20"/>
          <w:szCs w:val="20"/>
          <w:lang w:val="sr-Cyrl-RS"/>
        </w:rPr>
        <w:t>у другом степену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по жалбама на одлуке Канцеларије за азил, а чини је председник и осам чланова које именује Влада на период од четири године. Комисија за азил је независна у свом раду и одлучује већином гласова од укупног броја чланова.</w:t>
      </w:r>
      <w:r w:rsidRPr="00111876">
        <w:rPr>
          <w:rFonts w:ascii="Arial" w:hAnsi="Arial" w:cs="Arial"/>
          <w:sz w:val="20"/>
          <w:szCs w:val="20"/>
          <w:lang w:val="ru-RU"/>
        </w:rPr>
        <w:t xml:space="preserve"> </w:t>
      </w:r>
      <w:r w:rsidRPr="00AB35EC">
        <w:rPr>
          <w:rFonts w:ascii="Arial" w:hAnsi="Arial" w:cs="Arial"/>
          <w:sz w:val="20"/>
          <w:szCs w:val="20"/>
          <w:lang w:val="sr-Cyrl-RS"/>
        </w:rPr>
        <w:t>До доношења коначне одлуке о захтеву за азил, лицима која траже азил обезбеђује се смештај и основни животни услови у </w:t>
      </w:r>
      <w:r w:rsidRPr="00AB35EC">
        <w:rPr>
          <w:rStyle w:val="Strong"/>
          <w:rFonts w:ascii="Arial" w:hAnsi="Arial" w:cs="Arial"/>
          <w:b w:val="0"/>
          <w:sz w:val="20"/>
          <w:szCs w:val="20"/>
          <w:lang w:val="sr-Cyrl-RS"/>
        </w:rPr>
        <w:t>Центру за азил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који је у саставу Комесаријата за избеглице као посебне организације.</w:t>
      </w:r>
      <w:r w:rsidRPr="00111876">
        <w:rPr>
          <w:rFonts w:ascii="Arial" w:hAnsi="Arial" w:cs="Arial"/>
          <w:sz w:val="20"/>
          <w:szCs w:val="20"/>
          <w:lang w:val="ru-RU"/>
        </w:rPr>
        <w:t xml:space="preserve"> </w:t>
      </w:r>
      <w:r w:rsidRPr="00AB35EC">
        <w:rPr>
          <w:rStyle w:val="Strong"/>
          <w:rFonts w:ascii="Arial" w:hAnsi="Arial" w:cs="Arial"/>
          <w:b w:val="0"/>
          <w:sz w:val="20"/>
          <w:szCs w:val="20"/>
          <w:lang w:val="sr-Cyrl-RS"/>
        </w:rPr>
        <w:t>Поступак захтева за добијање азила се одвија у неколико фаза: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намера да се тражи азил, евидентирање и регистрација</w:t>
      </w:r>
      <w:r w:rsidR="00AB35EC" w:rsidRPr="00111876">
        <w:rPr>
          <w:rFonts w:ascii="Arial" w:hAnsi="Arial" w:cs="Arial"/>
          <w:sz w:val="20"/>
          <w:szCs w:val="20"/>
          <w:lang w:val="ru-RU"/>
        </w:rPr>
        <w:t>.</w:t>
      </w:r>
      <w:r w:rsidR="00AB35EC"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972C4" w:rsidRPr="00AB35EC">
        <w:rPr>
          <w:rFonts w:ascii="Arial" w:hAnsi="Arial" w:cs="Arial"/>
          <w:sz w:val="20"/>
          <w:szCs w:val="20"/>
          <w:lang w:val="sr-Cyrl-RS"/>
        </w:rPr>
        <w:t xml:space="preserve">Према подацима МУП-а за 2012. годину, 2.723 странца изразило је намеру да </w:t>
      </w:r>
      <w:r w:rsidR="00BD5DF8">
        <w:rPr>
          <w:rFonts w:ascii="Arial" w:hAnsi="Arial" w:cs="Arial"/>
          <w:sz w:val="20"/>
          <w:szCs w:val="20"/>
          <w:lang w:val="sr-Cyrl-RS"/>
        </w:rPr>
        <w:t>за</w:t>
      </w:r>
      <w:r w:rsidR="00A972C4" w:rsidRPr="00AB35EC">
        <w:rPr>
          <w:rFonts w:ascii="Arial" w:hAnsi="Arial" w:cs="Arial"/>
          <w:sz w:val="20"/>
          <w:szCs w:val="20"/>
          <w:lang w:val="sr-Cyrl-RS"/>
        </w:rPr>
        <w:t xml:space="preserve">тражи азил, што је нешто мање него претходне, 2011. године, </w:t>
      </w:r>
      <w:r w:rsidR="00A972C4" w:rsidRPr="00AB35EC">
        <w:rPr>
          <w:rFonts w:ascii="Arial" w:hAnsi="Arial" w:cs="Arial"/>
          <w:sz w:val="20"/>
          <w:szCs w:val="20"/>
          <w:lang w:val="sr-Cyrl-RS"/>
        </w:rPr>
        <w:lastRenderedPageBreak/>
        <w:t xml:space="preserve">када их је било 3.134, када је дошло до </w:t>
      </w:r>
      <w:r w:rsidR="005A6854">
        <w:rPr>
          <w:rFonts w:ascii="Arial" w:hAnsi="Arial" w:cs="Arial"/>
          <w:sz w:val="20"/>
          <w:szCs w:val="20"/>
          <w:lang w:val="sr-Cyrl-RS"/>
        </w:rPr>
        <w:t>значајног</w:t>
      </w:r>
      <w:r w:rsidR="00A972C4" w:rsidRPr="00AB35EC">
        <w:rPr>
          <w:rFonts w:ascii="Arial" w:hAnsi="Arial" w:cs="Arial"/>
          <w:sz w:val="20"/>
          <w:szCs w:val="20"/>
          <w:lang w:val="sr-Cyrl-RS"/>
        </w:rPr>
        <w:t xml:space="preserve"> повећања у односу на 2010. годину (522)</w:t>
      </w:r>
      <w:r w:rsidR="00A972C4" w:rsidRPr="00AB35EC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9"/>
      </w:r>
      <w:r w:rsidR="00A972C4" w:rsidRPr="00AB35EC">
        <w:rPr>
          <w:rFonts w:ascii="Arial" w:hAnsi="Arial" w:cs="Arial"/>
          <w:sz w:val="20"/>
          <w:szCs w:val="20"/>
          <w:lang w:val="sr-Cyrl-RS"/>
        </w:rPr>
        <w:t>. У погледу националне припадности, у 2012. години било их је највише из Авганистана (804), потом из Сомалије (505), а онда из Сирије, Пакистана, Алжира, Еритреје, итд. Изражавање намере да ће се тражити уточиште у Србији, омогућава странцима да регуларно бораве у Србији док се не одлучи о њиховом захтеву.</w:t>
      </w:r>
      <w:r w:rsidR="00D16403"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972C4" w:rsidRPr="00AB35EC">
        <w:rPr>
          <w:rFonts w:ascii="Arial" w:hAnsi="Arial" w:cs="Arial"/>
          <w:sz w:val="20"/>
          <w:szCs w:val="20"/>
          <w:lang w:val="sr-Cyrl-RS"/>
        </w:rPr>
        <w:t xml:space="preserve">Међутим, подаци указују да највећи број лица никада не затражи азил, већ даље наставља пут ка земљама шенгенске зоне. </w:t>
      </w:r>
    </w:p>
    <w:p w:rsidR="00AB35EC" w:rsidRDefault="003932C5" w:rsidP="006F7017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У табели у наставку текста приказана је статистика о захтевима за азил од 2010</w:t>
      </w:r>
      <w:r w:rsidR="007E5CC9">
        <w:rPr>
          <w:lang w:val="sr-Cyrl-RS"/>
        </w:rPr>
        <w:t>.</w:t>
      </w:r>
      <w:r>
        <w:rPr>
          <w:lang w:val="sr-Cyrl-RS"/>
        </w:rPr>
        <w:t xml:space="preserve"> до половине 2016</w:t>
      </w:r>
      <w:r w:rsidR="007E5CC9">
        <w:rPr>
          <w:lang w:val="sr-Cyrl-RS"/>
        </w:rPr>
        <w:t>.</w:t>
      </w:r>
      <w:r w:rsidR="00BD5DF8">
        <w:rPr>
          <w:lang w:val="sr-Cyrl-RS"/>
        </w:rPr>
        <w:t xml:space="preserve"> године, према подацима</w:t>
      </w:r>
      <w:r>
        <w:rPr>
          <w:lang w:val="sr-Cyrl-RS"/>
        </w:rPr>
        <w:t xml:space="preserve"> Канцеларије</w:t>
      </w:r>
      <w:r w:rsidR="00BD5DF8">
        <w:rPr>
          <w:lang w:val="sr-Cyrl-RS"/>
        </w:rPr>
        <w:t xml:space="preserve"> </w:t>
      </w:r>
      <w:r w:rsidR="00BD5DF8">
        <w:t>UNHCR</w:t>
      </w:r>
      <w:r>
        <w:rPr>
          <w:lang w:val="sr-Cyrl-RS"/>
        </w:rPr>
        <w:t xml:space="preserve"> у Београду.</w:t>
      </w:r>
    </w:p>
    <w:p w:rsidR="006F7017" w:rsidRPr="006F7017" w:rsidRDefault="006F7017" w:rsidP="006F7017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3932C5" w:rsidRDefault="003932C5" w:rsidP="003932C5">
      <w:pPr>
        <w:rPr>
          <w:lang w:val="sr-Cyrl-RS"/>
        </w:rPr>
      </w:pPr>
      <w:r>
        <w:rPr>
          <w:lang w:val="sr-Cyrl-RS"/>
        </w:rPr>
        <w:t xml:space="preserve">Табела </w:t>
      </w:r>
      <w:r w:rsidR="00516D03">
        <w:rPr>
          <w:lang w:val="sr-Cyrl-RS"/>
        </w:rPr>
        <w:t>3.:Број тражилац</w:t>
      </w:r>
      <w:r>
        <w:rPr>
          <w:lang w:val="sr-Cyrl-RS"/>
        </w:rPr>
        <w:t>а азила у Србији, 2010-2015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година/број лица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2010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522</w:t>
            </w: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2011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971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132</w:t>
            </w: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2012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971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723</w:t>
            </w: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4971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066</w:t>
            </w: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4971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490</w:t>
            </w:r>
          </w:p>
        </w:tc>
      </w:tr>
      <w:tr w:rsidR="003932C5" w:rsidTr="005236C5">
        <w:tc>
          <w:tcPr>
            <w:tcW w:w="4621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  <w:tc>
          <w:tcPr>
            <w:tcW w:w="4622" w:type="dxa"/>
          </w:tcPr>
          <w:p w:rsidR="003932C5" w:rsidRDefault="003932C5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335</w:t>
            </w:r>
            <w:r w:rsidR="004971B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246</w:t>
            </w:r>
          </w:p>
        </w:tc>
      </w:tr>
      <w:tr w:rsidR="003932C5" w:rsidTr="005236C5">
        <w:tc>
          <w:tcPr>
            <w:tcW w:w="4621" w:type="dxa"/>
          </w:tcPr>
          <w:p w:rsidR="003932C5" w:rsidRDefault="00811102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Јан-јун</w:t>
            </w:r>
            <w:r w:rsidR="003932C5">
              <w:rPr>
                <w:lang w:val="sr-Cyrl-RS"/>
              </w:rPr>
              <w:t xml:space="preserve"> 2016</w:t>
            </w:r>
          </w:p>
        </w:tc>
        <w:tc>
          <w:tcPr>
            <w:tcW w:w="4622" w:type="dxa"/>
          </w:tcPr>
          <w:p w:rsidR="003932C5" w:rsidRDefault="00811102" w:rsidP="005236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4 551</w:t>
            </w:r>
          </w:p>
        </w:tc>
      </w:tr>
    </w:tbl>
    <w:p w:rsidR="003932C5" w:rsidRDefault="003932C5" w:rsidP="003932C5">
      <w:pPr>
        <w:rPr>
          <w:lang w:val="sr-Cyrl-RS"/>
        </w:rPr>
      </w:pPr>
      <w:r>
        <w:rPr>
          <w:lang w:val="sr-Cyrl-RS"/>
        </w:rPr>
        <w:t xml:space="preserve">Извор: </w:t>
      </w:r>
      <w:hyperlink r:id="rId14" w:history="1">
        <w:r w:rsidRPr="00351E56">
          <w:rPr>
            <w:rStyle w:val="Hyperlink"/>
            <w:lang w:val="sr-Cyrl-RS"/>
          </w:rPr>
          <w:t>http://www.unhcr.rs/dokumenti/statisktike/azil.html</w:t>
        </w:r>
      </w:hyperlink>
    </w:p>
    <w:p w:rsidR="00A972C4" w:rsidRDefault="00A972C4" w:rsidP="00A972C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lang w:val="sr-Cyrl-RS"/>
        </w:rPr>
      </w:pPr>
    </w:p>
    <w:p w:rsidR="003932C5" w:rsidRDefault="00824B92" w:rsidP="003932C5">
      <w:pPr>
        <w:spacing w:line="360" w:lineRule="auto"/>
        <w:jc w:val="both"/>
        <w:rPr>
          <w:lang w:val="sr-Cyrl-RS"/>
        </w:rPr>
      </w:pPr>
      <w:r w:rsidRPr="00824B92">
        <w:rPr>
          <w:lang w:val="sr-Cyrl-RS"/>
        </w:rPr>
        <w:t xml:space="preserve">У првих шест месеци 2016. године, 4.551 особа је изразила намеру да </w:t>
      </w:r>
      <w:r w:rsidR="00BD5DF8">
        <w:rPr>
          <w:lang w:val="sr-Cyrl-RS"/>
        </w:rPr>
        <w:t>з</w:t>
      </w:r>
      <w:r w:rsidR="00BD5DF8">
        <w:t>a</w:t>
      </w:r>
      <w:r w:rsidRPr="00824B92">
        <w:rPr>
          <w:lang w:val="sr-Cyrl-RS"/>
        </w:rPr>
        <w:t>тражи азил у Србији, само 365 је поднело захтев за азил пред службеницима Канцеларије за азил, а 98 их је остало у Србији до саслушања. Обустављени су поступци по захтевима у 299 случаја, најчешће због тога што су тражиоци азила у међувремену напустили Србију или су прекршили правила процедуре. Одбачени су захтеви 23 тражиоца азила, међу којима је највише држављана Либије, а донете су одбијајуће одлуке у односу на 26 тражилаца азила</w:t>
      </w:r>
      <w:r>
        <w:rPr>
          <w:lang w:val="sr-Cyrl-RS"/>
        </w:rPr>
        <w:t>.</w:t>
      </w:r>
      <w:r>
        <w:rPr>
          <w:rStyle w:val="FootnoteReference"/>
          <w:lang w:val="sr-Cyrl-RS"/>
        </w:rPr>
        <w:footnoteReference w:id="20"/>
      </w:r>
      <w:r>
        <w:rPr>
          <w:lang w:val="sr-Cyrl-RS"/>
        </w:rPr>
        <w:t xml:space="preserve"> </w:t>
      </w:r>
      <w:r w:rsidR="000D4934" w:rsidRPr="00803B36">
        <w:rPr>
          <w:color w:val="222222"/>
          <w:lang w:val="sr-Cyrl-RS"/>
        </w:rPr>
        <w:t>Према н</w:t>
      </w:r>
      <w:r w:rsidR="00BD5DF8">
        <w:rPr>
          <w:color w:val="222222"/>
          <w:lang w:val="sr-Cyrl-RS"/>
        </w:rPr>
        <w:t>ајновијим подацима Канцеларије з</w:t>
      </w:r>
      <w:r w:rsidR="000D4934" w:rsidRPr="00803B36">
        <w:rPr>
          <w:color w:val="222222"/>
          <w:lang w:val="sr-Cyrl-RS"/>
        </w:rPr>
        <w:t>а азил</w:t>
      </w:r>
      <w:r w:rsidR="000D4934" w:rsidRPr="00803B36">
        <w:rPr>
          <w:rStyle w:val="FootnoteReference"/>
          <w:color w:val="222222"/>
          <w:lang w:val="sr-Cyrl-RS"/>
        </w:rPr>
        <w:footnoteReference w:id="21"/>
      </w:r>
      <w:r w:rsidR="000D4934" w:rsidRPr="00803B36">
        <w:rPr>
          <w:color w:val="222222"/>
          <w:lang w:val="sr-Cyrl-RS"/>
        </w:rPr>
        <w:t xml:space="preserve"> </w:t>
      </w:r>
      <w:r w:rsidR="000D4934" w:rsidRPr="00803B36">
        <w:rPr>
          <w:lang w:val="sr-Cyrl-RS"/>
        </w:rPr>
        <w:t>у септембру</w:t>
      </w:r>
      <w:r w:rsidR="005A6854">
        <w:rPr>
          <w:lang w:val="sr-Cyrl-RS"/>
        </w:rPr>
        <w:t xml:space="preserve"> ове године</w:t>
      </w:r>
      <w:r w:rsidR="000D4934" w:rsidRPr="00803B36">
        <w:rPr>
          <w:lang w:val="sr-Cyrl-RS"/>
        </w:rPr>
        <w:t xml:space="preserve"> 951 особа </w:t>
      </w:r>
      <w:r w:rsidR="005A6854">
        <w:rPr>
          <w:lang w:val="sr-Cyrl-RS"/>
        </w:rPr>
        <w:t xml:space="preserve">је </w:t>
      </w:r>
      <w:r w:rsidR="000D4934" w:rsidRPr="00803B36">
        <w:rPr>
          <w:lang w:val="sr-Cyrl-RS"/>
        </w:rPr>
        <w:t xml:space="preserve">изразила намеру да тражи азил у Србији, </w:t>
      </w:r>
      <w:r w:rsidR="00AC1B31">
        <w:rPr>
          <w:lang w:val="sr-Cyrl-RS"/>
        </w:rPr>
        <w:t xml:space="preserve">од чега су најбројнији </w:t>
      </w:r>
      <w:r w:rsidR="003932C5">
        <w:rPr>
          <w:lang w:val="sr-Cyrl-RS"/>
        </w:rPr>
        <w:t>држављани Авганистана и Сирије</w:t>
      </w:r>
      <w:r w:rsidR="000D4934" w:rsidRPr="00803B36">
        <w:rPr>
          <w:lang w:val="sr-Cyrl-RS"/>
        </w:rPr>
        <w:t>. 95</w:t>
      </w:r>
      <w:r w:rsidR="000D4934">
        <w:rPr>
          <w:lang w:val="sr-Cyrl-RS"/>
        </w:rPr>
        <w:t>%</w:t>
      </w:r>
      <w:r w:rsidR="000D4934" w:rsidRPr="00803B36">
        <w:rPr>
          <w:lang w:val="sr-Cyrl-RS"/>
        </w:rPr>
        <w:t xml:space="preserve"> намера за тражење азила изражено је у подручним полицијским управама, а 5</w:t>
      </w:r>
      <w:r w:rsidR="000D4934">
        <w:rPr>
          <w:lang w:val="sr-Cyrl-RS"/>
        </w:rPr>
        <w:t xml:space="preserve">% </w:t>
      </w:r>
      <w:r w:rsidR="000D4934" w:rsidRPr="00803B36">
        <w:rPr>
          <w:lang w:val="sr-Cyrl-RS"/>
        </w:rPr>
        <w:t xml:space="preserve">на граничним прелазима. Намеру да </w:t>
      </w:r>
      <w:r w:rsidR="00BD5DF8">
        <w:rPr>
          <w:lang w:val="sr-Cyrl-RS"/>
        </w:rPr>
        <w:t>за</w:t>
      </w:r>
      <w:r w:rsidR="000D4934" w:rsidRPr="00803B36">
        <w:rPr>
          <w:lang w:val="sr-Cyrl-RS"/>
        </w:rPr>
        <w:t>тражи азил у Србији изразила је и 441 малолетна особа, од чега је без пратње било пет дечака и једна девојчица из Авганистана. Само пет особа је, после изражене намере, приступило даљој процедури и поднело захтев за азил, а Канцеларија за</w:t>
      </w:r>
      <w:r w:rsidR="000D4934">
        <w:rPr>
          <w:lang w:val="sr-Cyrl-RS"/>
        </w:rPr>
        <w:t xml:space="preserve"> азил обавила је и 11 саслушања.</w:t>
      </w:r>
      <w:r w:rsidR="003932C5">
        <w:rPr>
          <w:lang w:val="sr-Cyrl-RS"/>
        </w:rPr>
        <w:t xml:space="preserve"> </w:t>
      </w:r>
    </w:p>
    <w:p w:rsidR="00BD5DF8" w:rsidRDefault="00BD5DF8" w:rsidP="003932C5">
      <w:pPr>
        <w:spacing w:line="360" w:lineRule="auto"/>
        <w:jc w:val="both"/>
        <w:rPr>
          <w:lang w:val="sr-Latn-RS"/>
        </w:rPr>
      </w:pPr>
    </w:p>
    <w:p w:rsidR="00F13135" w:rsidRPr="00F13135" w:rsidRDefault="00F13135" w:rsidP="003932C5">
      <w:pPr>
        <w:spacing w:line="360" w:lineRule="auto"/>
        <w:jc w:val="both"/>
        <w:rPr>
          <w:lang w:val="sr-Latn-RS"/>
        </w:rPr>
      </w:pPr>
    </w:p>
    <w:p w:rsidR="005A6854" w:rsidRDefault="005A6854" w:rsidP="00A144BD">
      <w:pPr>
        <w:pStyle w:val="Heading1"/>
        <w:rPr>
          <w:rFonts w:eastAsia="Times New Roman"/>
          <w:lang w:val="sr-Cyrl-RS"/>
        </w:rPr>
      </w:pPr>
      <w:bookmarkStart w:id="8" w:name="_Toc468797346"/>
      <w:r w:rsidRPr="005A6854">
        <w:rPr>
          <w:rFonts w:eastAsia="Times New Roman"/>
          <w:lang w:val="sr-Cyrl-RS"/>
        </w:rPr>
        <w:lastRenderedPageBreak/>
        <w:t xml:space="preserve">Миграциона политика у </w:t>
      </w:r>
      <w:r w:rsidRPr="005A6854">
        <w:rPr>
          <w:lang w:val="sr-Cyrl-RS"/>
        </w:rPr>
        <w:t>Босни и Херцеговнини</w:t>
      </w:r>
      <w:r w:rsidRPr="005A6854">
        <w:rPr>
          <w:rFonts w:eastAsia="Times New Roman"/>
          <w:lang w:val="sr-Cyrl-RS"/>
        </w:rPr>
        <w:t xml:space="preserve"> и Словенији</w:t>
      </w:r>
      <w:bookmarkEnd w:id="8"/>
    </w:p>
    <w:p w:rsidR="00A144BD" w:rsidRPr="00A144BD" w:rsidRDefault="00A144BD" w:rsidP="00A144BD">
      <w:pPr>
        <w:pStyle w:val="NoSpacing"/>
        <w:rPr>
          <w:lang w:val="sr-Cyrl-RS"/>
        </w:rPr>
      </w:pPr>
    </w:p>
    <w:p w:rsidR="009A5405" w:rsidRPr="00AB35EC" w:rsidRDefault="00AB35EC" w:rsidP="00870660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 w:rsidRPr="00AB35EC">
        <w:rPr>
          <w:lang w:val="sr-Cyrl-RS"/>
        </w:rPr>
        <w:t>Институционални оквир за миграциону политику и реакције на велики број миграната у земљама региона приказани су на примеру Босне и Херцеговнине и Словеније у наставку</w:t>
      </w:r>
      <w:r w:rsidR="005A6854">
        <w:rPr>
          <w:lang w:val="sr-Cyrl-RS"/>
        </w:rPr>
        <w:t xml:space="preserve"> истраживања</w:t>
      </w:r>
      <w:r w:rsidRPr="00AB35EC">
        <w:rPr>
          <w:lang w:val="sr-Cyrl-RS"/>
        </w:rPr>
        <w:t>.</w:t>
      </w:r>
    </w:p>
    <w:p w:rsidR="00AB35EC" w:rsidRPr="00111876" w:rsidRDefault="00AB35EC" w:rsidP="00870660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ru-RU"/>
        </w:rPr>
      </w:pPr>
    </w:p>
    <w:p w:rsidR="00AC1B31" w:rsidRPr="00111876" w:rsidRDefault="009A5405" w:rsidP="00111876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ru-RU"/>
        </w:rPr>
      </w:pPr>
      <w:r w:rsidRPr="009A5405">
        <w:rPr>
          <w:rFonts w:eastAsia="Times New Roman"/>
          <w:lang w:val="sr-Cyrl-RS"/>
        </w:rPr>
        <w:t>Информациј</w:t>
      </w:r>
      <w:r>
        <w:rPr>
          <w:rFonts w:eastAsia="Times New Roman"/>
          <w:lang w:val="sr-Cyrl-RS"/>
        </w:rPr>
        <w:t>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питању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избегличке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кризе</w:t>
      </w:r>
      <w:r w:rsidR="00AB0851">
        <w:rPr>
          <w:rFonts w:eastAsia="Times New Roman"/>
          <w:lang w:val="sr-Cyrl-RS"/>
        </w:rPr>
        <w:t xml:space="preserve"> усвојио је</w:t>
      </w:r>
      <w:r w:rsidRPr="009A5405">
        <w:rPr>
          <w:rFonts w:eastAsia="Times New Roman"/>
          <w:lang w:val="sr-Cyrl-RS"/>
        </w:rPr>
        <w:t xml:space="preserve"> Савет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министара</w:t>
      </w:r>
      <w:r w:rsidRPr="00EC0B8D">
        <w:rPr>
          <w:rFonts w:eastAsia="Times New Roman"/>
          <w:lang w:val="sr-Cyrl-RS"/>
        </w:rPr>
        <w:t xml:space="preserve"> </w:t>
      </w:r>
      <w:r w:rsidR="00AB35EC" w:rsidRPr="00984AE0">
        <w:rPr>
          <w:lang w:val="sr-Cyrl-RS"/>
        </w:rPr>
        <w:t>Босн</w:t>
      </w:r>
      <w:r w:rsidR="00AB35EC" w:rsidRPr="00984AE0">
        <w:t>e</w:t>
      </w:r>
      <w:r w:rsidR="00AB35EC" w:rsidRPr="00984AE0">
        <w:rPr>
          <w:lang w:val="sr-Cyrl-RS"/>
        </w:rPr>
        <w:t xml:space="preserve"> и Херцеговнин</w:t>
      </w:r>
      <w:r w:rsidR="00AB35EC" w:rsidRPr="00984AE0">
        <w:t>e</w:t>
      </w:r>
      <w:r w:rsidR="00AB35EC" w:rsidRPr="00984AE0">
        <w:rPr>
          <w:color w:val="222222"/>
          <w:lang w:val="sr-Cyrl-RS"/>
        </w:rPr>
        <w:t xml:space="preserve"> </w:t>
      </w:r>
      <w:r w:rsidR="00AB35EC" w:rsidRPr="00111876">
        <w:rPr>
          <w:color w:val="222222"/>
          <w:lang w:val="ru-RU"/>
        </w:rPr>
        <w:t>-</w:t>
      </w:r>
      <w:r w:rsidRPr="009A5405">
        <w:rPr>
          <w:rFonts w:eastAsia="Times New Roman"/>
          <w:lang w:val="sr-Cyrl-RS"/>
        </w:rPr>
        <w:t>БиХ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на</w:t>
      </w:r>
      <w:r w:rsidRPr="00EC0B8D">
        <w:rPr>
          <w:rFonts w:eastAsia="Times New Roman"/>
          <w:lang w:val="sr-Cyrl-RS"/>
        </w:rPr>
        <w:t xml:space="preserve"> 22. </w:t>
      </w:r>
      <w:r w:rsidRPr="009A5405">
        <w:rPr>
          <w:rFonts w:eastAsia="Times New Roman"/>
          <w:lang w:val="sr-Cyrl-RS"/>
        </w:rPr>
        <w:t>седници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одржаној</w:t>
      </w:r>
      <w:r w:rsidRPr="00EC0B8D">
        <w:rPr>
          <w:rFonts w:eastAsia="Times New Roman"/>
          <w:lang w:val="sr-Cyrl-RS"/>
        </w:rPr>
        <w:t xml:space="preserve"> </w:t>
      </w:r>
      <w:r w:rsidR="005A6854">
        <w:rPr>
          <w:rFonts w:eastAsia="Times New Roman"/>
          <w:lang w:val="sr-Cyrl-RS"/>
        </w:rPr>
        <w:t xml:space="preserve">у септембру </w:t>
      </w:r>
      <w:r w:rsidRPr="00EC0B8D">
        <w:rPr>
          <w:rFonts w:eastAsia="Times New Roman"/>
          <w:lang w:val="sr-Cyrl-RS"/>
        </w:rPr>
        <w:t xml:space="preserve">2015. </w:t>
      </w:r>
      <w:r w:rsidRPr="009A5405">
        <w:rPr>
          <w:rFonts w:eastAsia="Times New Roman"/>
          <w:lang w:val="sr-Cyrl-RS"/>
        </w:rPr>
        <w:t>на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предлог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Министарства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безбедности</w:t>
      </w:r>
      <w:r>
        <w:rPr>
          <w:rFonts w:eastAsia="Times New Roman"/>
          <w:lang w:val="sr-Cyrl-RS"/>
        </w:rPr>
        <w:t xml:space="preserve"> (</w:t>
      </w:r>
      <w:r w:rsidR="00BD5DF8">
        <w:rPr>
          <w:rFonts w:eastAsia="Times New Roman"/>
          <w:i/>
          <w:lang w:val="sr-Cyrl-RS"/>
        </w:rPr>
        <w:t>Информација</w:t>
      </w:r>
      <w:r w:rsidRPr="00AB0851">
        <w:rPr>
          <w:rFonts w:eastAsia="Times New Roman"/>
          <w:i/>
          <w:lang w:val="sr-Cyrl-RS"/>
        </w:rPr>
        <w:t xml:space="preserve"> о процјенама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и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могућностима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Босне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и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Херцеговине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по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питању избјегличке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кризе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у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регији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и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Европској</w:t>
      </w:r>
      <w:r w:rsidRPr="00EC0B8D">
        <w:rPr>
          <w:rFonts w:eastAsia="Times New Roman"/>
          <w:i/>
          <w:lang w:val="sr-Cyrl-RS"/>
        </w:rPr>
        <w:t xml:space="preserve"> </w:t>
      </w:r>
      <w:r w:rsidRPr="00AB0851">
        <w:rPr>
          <w:rFonts w:eastAsia="Times New Roman"/>
          <w:i/>
          <w:lang w:val="sr-Cyrl-RS"/>
        </w:rPr>
        <w:t>унији</w:t>
      </w:r>
      <w:r>
        <w:rPr>
          <w:rFonts w:eastAsia="Times New Roman"/>
          <w:lang w:val="sr-Cyrl-RS"/>
        </w:rPr>
        <w:t>)</w:t>
      </w:r>
      <w:r w:rsidRPr="00EC0B8D">
        <w:rPr>
          <w:rFonts w:eastAsia="Times New Roman"/>
          <w:lang w:val="sr-Cyrl-RS"/>
        </w:rPr>
        <w:t>.</w:t>
      </w:r>
      <w:r w:rsidRPr="009A54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Том приликом </w:t>
      </w:r>
      <w:r w:rsidR="00AB0851" w:rsidRPr="009A5405">
        <w:rPr>
          <w:rFonts w:eastAsia="Times New Roman"/>
          <w:lang w:val="sr-Cyrl-RS"/>
        </w:rPr>
        <w:t>Планом</w:t>
      </w:r>
      <w:r w:rsidR="00AB0851">
        <w:rPr>
          <w:rFonts w:eastAsia="Times New Roman"/>
          <w:lang w:val="sr-Cyrl-RS"/>
        </w:rPr>
        <w:t xml:space="preserve"> су </w:t>
      </w:r>
      <w:r>
        <w:rPr>
          <w:rFonts w:eastAsia="Times New Roman"/>
          <w:lang w:val="sr-Cyrl-RS"/>
        </w:rPr>
        <w:t xml:space="preserve">одређене </w:t>
      </w:r>
      <w:r w:rsidRPr="009A5405">
        <w:rPr>
          <w:rFonts w:eastAsia="Times New Roman"/>
          <w:lang w:val="sr-Cyrl-RS"/>
        </w:rPr>
        <w:t>хит</w:t>
      </w:r>
      <w:r>
        <w:rPr>
          <w:rFonts w:eastAsia="Times New Roman"/>
          <w:lang w:val="sr-Cyrl-RS"/>
        </w:rPr>
        <w:t>не мере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за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осигурање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додатних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капацитета</w:t>
      </w:r>
      <w:r w:rsidRPr="00EC0B8D">
        <w:rPr>
          <w:rFonts w:eastAsia="Times New Roman"/>
          <w:lang w:val="sr-Cyrl-RS"/>
        </w:rPr>
        <w:t xml:space="preserve">, </w:t>
      </w:r>
      <w:r w:rsidRPr="009A5405">
        <w:rPr>
          <w:rFonts w:eastAsia="Times New Roman"/>
          <w:lang w:val="sr-Cyrl-RS"/>
        </w:rPr>
        <w:t>контролу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управљање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приливом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масовног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броја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миграната</w:t>
      </w:r>
      <w:r w:rsidRPr="00EC0B8D">
        <w:rPr>
          <w:rFonts w:eastAsia="Times New Roman"/>
          <w:lang w:val="sr-Cyrl-RS"/>
        </w:rPr>
        <w:t>/</w:t>
      </w:r>
      <w:r w:rsidRPr="009A5405">
        <w:rPr>
          <w:rFonts w:eastAsia="Times New Roman"/>
          <w:lang w:val="sr-Cyrl-RS"/>
        </w:rPr>
        <w:t>избеглица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Босну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Херцеговину</w:t>
      </w:r>
      <w:r w:rsidRPr="00EC0B8D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Министарство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безбедности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Координацијско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тело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за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питања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миграција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Босни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Херцеговини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задужени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су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да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сарадњи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с</w:t>
      </w:r>
      <w:r>
        <w:rPr>
          <w:rFonts w:eastAsia="Times New Roman"/>
          <w:lang w:val="sr-Cyrl-RS"/>
        </w:rPr>
        <w:t>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другим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надлежним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институцијама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прате</w:t>
      </w:r>
      <w:r w:rsidRPr="00EC0B8D">
        <w:rPr>
          <w:rFonts w:eastAsia="Times New Roman"/>
          <w:lang w:val="sr-Cyrl-RS"/>
        </w:rPr>
        <w:t xml:space="preserve"> </w:t>
      </w:r>
      <w:r w:rsidR="00AB0851">
        <w:rPr>
          <w:rFonts w:eastAsia="Times New Roman"/>
          <w:lang w:val="sr-Cyrl-RS"/>
        </w:rPr>
        <w:t>с</w:t>
      </w:r>
      <w:r w:rsidRPr="009A5405">
        <w:rPr>
          <w:rFonts w:eastAsia="Times New Roman"/>
          <w:lang w:val="sr-Cyrl-RS"/>
        </w:rPr>
        <w:t>провођење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Плана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хитних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мера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потреби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га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коригују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о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томе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изв</w:t>
      </w:r>
      <w:r>
        <w:rPr>
          <w:rFonts w:eastAsia="Times New Roman"/>
          <w:lang w:val="sr-Cyrl-RS"/>
        </w:rPr>
        <w:t>е</w:t>
      </w:r>
      <w:r w:rsidRPr="009A5405">
        <w:rPr>
          <w:rFonts w:eastAsia="Times New Roman"/>
          <w:lang w:val="sr-Cyrl-RS"/>
        </w:rPr>
        <w:t>сте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Савет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министара</w:t>
      </w:r>
      <w:r w:rsidRPr="00EC0B8D">
        <w:rPr>
          <w:rFonts w:eastAsia="Times New Roman"/>
          <w:lang w:val="sr-Cyrl-RS"/>
        </w:rPr>
        <w:t xml:space="preserve"> </w:t>
      </w:r>
      <w:r w:rsidRPr="009A5405">
        <w:rPr>
          <w:rFonts w:eastAsia="Times New Roman"/>
          <w:lang w:val="sr-Cyrl-RS"/>
        </w:rPr>
        <w:t>БиХ</w:t>
      </w:r>
      <w:r w:rsidRPr="00EC0B8D">
        <w:rPr>
          <w:rFonts w:eastAsia="Times New Roman"/>
          <w:lang w:val="sr-Cyrl-RS"/>
        </w:rPr>
        <w:t>.</w:t>
      </w:r>
      <w:r>
        <w:rPr>
          <w:rStyle w:val="FootnoteReference"/>
          <w:rFonts w:eastAsia="Times New Roman"/>
          <w:lang w:val="sr-Cyrl-RS"/>
        </w:rPr>
        <w:footnoteReference w:id="22"/>
      </w:r>
      <w:r w:rsidRPr="00111876">
        <w:rPr>
          <w:rFonts w:eastAsia="Times New Roman"/>
          <w:lang w:val="ru-RU"/>
        </w:rPr>
        <w:t xml:space="preserve"> </w:t>
      </w:r>
      <w:r w:rsidRPr="00AB35EC">
        <w:rPr>
          <w:rFonts w:eastAsia="Times New Roman"/>
          <w:lang w:val="sr-Cyrl-RS"/>
        </w:rPr>
        <w:t xml:space="preserve">Према подацима који се налазе у наведеној Информацији расположиви смештај за мигранте </w:t>
      </w:r>
      <w:r w:rsidR="00AB0851" w:rsidRPr="00AB35EC">
        <w:rPr>
          <w:rFonts w:eastAsia="Times New Roman"/>
          <w:lang w:val="sr-Cyrl-RS"/>
        </w:rPr>
        <w:t xml:space="preserve">у новембру прошле године </w:t>
      </w:r>
      <w:r w:rsidRPr="00AB35EC">
        <w:rPr>
          <w:rFonts w:eastAsia="Times New Roman"/>
          <w:lang w:val="sr-Cyrl-RS"/>
        </w:rPr>
        <w:t>износи</w:t>
      </w:r>
      <w:r w:rsidR="00AB0851" w:rsidRPr="00AB35EC">
        <w:rPr>
          <w:rFonts w:eastAsia="Times New Roman"/>
          <w:lang w:val="sr-Cyrl-RS"/>
        </w:rPr>
        <w:t>о је</w:t>
      </w:r>
      <w:r w:rsidRPr="00AB35EC">
        <w:rPr>
          <w:rFonts w:eastAsia="Times New Roman"/>
          <w:lang w:val="sr-Cyrl-RS"/>
        </w:rPr>
        <w:t xml:space="preserve"> 1.270 места. Представник Сл</w:t>
      </w:r>
      <w:r w:rsidR="005A6854">
        <w:rPr>
          <w:rFonts w:eastAsia="Times New Roman"/>
          <w:lang w:val="sr-Cyrl-RS"/>
        </w:rPr>
        <w:t xml:space="preserve">ужбе за послове са странцима, </w:t>
      </w:r>
      <w:r w:rsidRPr="00AB35EC">
        <w:rPr>
          <w:rFonts w:eastAsia="Times New Roman"/>
          <w:lang w:val="sr-Cyrl-RS"/>
        </w:rPr>
        <w:t>према подацима истраживача ПСБиХ</w:t>
      </w:r>
      <w:r w:rsidR="005A6854">
        <w:rPr>
          <w:rFonts w:eastAsia="Times New Roman"/>
          <w:lang w:val="sr-Cyrl-RS"/>
        </w:rPr>
        <w:t>,</w:t>
      </w:r>
      <w:r w:rsidRPr="00AB35EC">
        <w:rPr>
          <w:rFonts w:eastAsia="Times New Roman"/>
          <w:lang w:val="sr-Cyrl-RS"/>
        </w:rPr>
        <w:t xml:space="preserve"> </w:t>
      </w:r>
      <w:r w:rsidR="00AB0851" w:rsidRPr="00AB35EC">
        <w:rPr>
          <w:rFonts w:eastAsia="Times New Roman"/>
          <w:lang w:val="sr-Cyrl-RS"/>
        </w:rPr>
        <w:t>обавестио је да су</w:t>
      </w:r>
      <w:r w:rsidRPr="00AB35EC">
        <w:rPr>
          <w:rFonts w:eastAsia="Times New Roman"/>
          <w:lang w:val="sr-Cyrl-RS"/>
        </w:rPr>
        <w:t xml:space="preserve"> расположиви капацитети Б</w:t>
      </w:r>
      <w:r w:rsidR="000E182E" w:rsidRPr="00AB35EC">
        <w:rPr>
          <w:rFonts w:eastAsia="Times New Roman"/>
          <w:lang w:val="sr-Cyrl-RS"/>
        </w:rPr>
        <w:t>иХ д</w:t>
      </w:r>
      <w:r w:rsidRPr="00AB35EC">
        <w:rPr>
          <w:rFonts w:eastAsia="Times New Roman"/>
          <w:lang w:val="sr-Cyrl-RS"/>
        </w:rPr>
        <w:t xml:space="preserve">о 5.000 миграната (19.11.2015.). </w:t>
      </w:r>
    </w:p>
    <w:p w:rsidR="00111876" w:rsidRPr="00111876" w:rsidRDefault="00111876" w:rsidP="00111876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</w:p>
    <w:p w:rsidR="00DF4729" w:rsidRPr="00DF4729" w:rsidRDefault="00DF4729" w:rsidP="00DF4729">
      <w:pPr>
        <w:spacing w:line="360" w:lineRule="auto"/>
        <w:jc w:val="both"/>
        <w:rPr>
          <w:lang w:val="sr-Cyrl-RS"/>
        </w:rPr>
      </w:pPr>
      <w:r w:rsidRPr="00DF4729">
        <w:rPr>
          <w:lang w:val="sr-Cyrl-RS"/>
        </w:rPr>
        <w:t xml:space="preserve">Органи на државном нивоу који се баве питањима миграната </w:t>
      </w:r>
      <w:r w:rsidR="00AC1B31">
        <w:rPr>
          <w:lang w:val="sr-Cyrl-RS"/>
        </w:rPr>
        <w:t xml:space="preserve">у БиХ </w:t>
      </w:r>
      <w:r w:rsidRPr="00DF4729">
        <w:rPr>
          <w:lang w:val="sr-Cyrl-RS"/>
        </w:rPr>
        <w:t>су</w:t>
      </w:r>
      <w:r>
        <w:rPr>
          <w:lang w:val="sr-Cyrl-RS"/>
        </w:rPr>
        <w:t xml:space="preserve">: </w:t>
      </w:r>
      <w:r w:rsidRPr="00DF4729">
        <w:rPr>
          <w:lang w:val="sr-Cyrl-RS"/>
        </w:rPr>
        <w:t xml:space="preserve">Министарство безбедности, Министарство за људска права и избеглице, Обавештајно безбедносна агенција </w:t>
      </w:r>
      <w:r>
        <w:rPr>
          <w:lang w:val="sr-Cyrl-RS"/>
        </w:rPr>
        <w:t xml:space="preserve">БиХ, </w:t>
      </w:r>
      <w:r w:rsidRPr="00DF4729">
        <w:rPr>
          <w:lang w:val="sr-Cyrl-RS"/>
        </w:rPr>
        <w:t xml:space="preserve">Министарство иностраних послова и Координационо тело  за питања миграција. </w:t>
      </w:r>
    </w:p>
    <w:p w:rsidR="00DF4729" w:rsidRPr="00984AE0" w:rsidRDefault="00AC1B31" w:rsidP="00DF472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Министартво безбедности креира</w:t>
      </w:r>
      <w:r w:rsidR="00DF4729" w:rsidRPr="00DF4729">
        <w:rPr>
          <w:lang w:val="sr-Cyrl-RS"/>
        </w:rPr>
        <w:t xml:space="preserve"> и </w:t>
      </w:r>
      <w:r w:rsidR="00DF4729">
        <w:rPr>
          <w:lang w:val="sr-Cyrl-RS"/>
        </w:rPr>
        <w:t>с</w:t>
      </w:r>
      <w:r w:rsidR="00DF4729" w:rsidRPr="00DF4729">
        <w:rPr>
          <w:lang w:val="sr-Cyrl-RS"/>
        </w:rPr>
        <w:t xml:space="preserve">проводи политику усељавања и азила у БиХ,  уређује процедуре и начин успостављања служби у вези са кретањем и боравком странаца у  </w:t>
      </w:r>
      <w:r w:rsidR="00DF4729">
        <w:rPr>
          <w:lang w:val="sr-Cyrl-RS"/>
        </w:rPr>
        <w:t>БиХ</w:t>
      </w:r>
      <w:r>
        <w:rPr>
          <w:lang w:val="sr-Cyrl-RS"/>
        </w:rPr>
        <w:t>.</w:t>
      </w:r>
      <w:r w:rsidR="00DF4729">
        <w:rPr>
          <w:lang w:val="sr-Cyrl-RS"/>
        </w:rPr>
        <w:t xml:space="preserve"> </w:t>
      </w:r>
      <w:r w:rsidR="00DF4729" w:rsidRPr="00DF4729">
        <w:rPr>
          <w:lang w:val="sr-Cyrl-RS"/>
        </w:rPr>
        <w:t xml:space="preserve">Министарство безбедности у својој организационој структури има секторе који се </w:t>
      </w:r>
      <w:r>
        <w:rPr>
          <w:lang w:val="sr-Cyrl-RS"/>
        </w:rPr>
        <w:t>баве питањима миграција</w:t>
      </w:r>
      <w:r w:rsidR="00BD5DF8">
        <w:rPr>
          <w:lang w:val="sr-Cyrl-RS"/>
        </w:rPr>
        <w:t>: Сектор за имиграцију,</w:t>
      </w:r>
      <w:r w:rsidR="000E182E">
        <w:rPr>
          <w:lang w:val="sr-Cyrl-RS"/>
        </w:rPr>
        <w:t xml:space="preserve"> </w:t>
      </w:r>
      <w:r w:rsidR="00705363">
        <w:rPr>
          <w:lang w:val="sr-Cyrl-RS"/>
        </w:rPr>
        <w:t>Сектор за азил</w:t>
      </w:r>
      <w:r w:rsidR="00BD5DF8">
        <w:rPr>
          <w:lang w:val="sr-Cyrl-RS"/>
        </w:rPr>
        <w:t>,</w:t>
      </w:r>
      <w:r w:rsidR="00DF4729" w:rsidRPr="00DF4729">
        <w:rPr>
          <w:lang w:val="sr-Cyrl-RS"/>
        </w:rPr>
        <w:t xml:space="preserve"> Сектор за граничну и општ</w:t>
      </w:r>
      <w:r w:rsidR="00705363">
        <w:rPr>
          <w:lang w:val="sr-Cyrl-RS"/>
        </w:rPr>
        <w:t xml:space="preserve">у безбедност. </w:t>
      </w:r>
      <w:r w:rsidR="00DF4729" w:rsidRPr="00DF4729">
        <w:rPr>
          <w:lang w:val="sr-Cyrl-RS"/>
        </w:rPr>
        <w:t>Поред наведених сектора управне организа</w:t>
      </w:r>
      <w:r w:rsidR="00705363">
        <w:rPr>
          <w:lang w:val="sr-Cyrl-RS"/>
        </w:rPr>
        <w:t>ције у оквиру Министарства безб</w:t>
      </w:r>
      <w:r w:rsidR="00BD5DF8">
        <w:rPr>
          <w:lang w:val="sr-Cyrl-RS"/>
        </w:rPr>
        <w:t>едности</w:t>
      </w:r>
      <w:r w:rsidR="00DF4729" w:rsidRPr="00DF4729">
        <w:rPr>
          <w:lang w:val="sr-Cyrl-RS"/>
        </w:rPr>
        <w:t xml:space="preserve"> које </w:t>
      </w:r>
      <w:r w:rsidR="00705363">
        <w:rPr>
          <w:lang w:val="sr-Cyrl-RS"/>
        </w:rPr>
        <w:t xml:space="preserve">се баве миграцијом становништва су: </w:t>
      </w:r>
      <w:r w:rsidR="00DF4729" w:rsidRPr="00DF4729">
        <w:rPr>
          <w:lang w:val="sr-Cyrl-RS"/>
        </w:rPr>
        <w:t>Служба за послове са странцима, Гранична полиција и Државна агенција за истраге и заштиту</w:t>
      </w:r>
      <w:r w:rsidR="00705363">
        <w:rPr>
          <w:lang w:val="sr-Cyrl-RS"/>
        </w:rPr>
        <w:t xml:space="preserve">. </w:t>
      </w:r>
      <w:r w:rsidR="00DF4729" w:rsidRPr="00DF4729">
        <w:rPr>
          <w:lang w:val="sr-Cyrl-RS"/>
        </w:rPr>
        <w:t>Министарство за људска пра</w:t>
      </w:r>
      <w:r w:rsidR="00705363">
        <w:rPr>
          <w:lang w:val="sr-Cyrl-RS"/>
        </w:rPr>
        <w:t>ва и из</w:t>
      </w:r>
      <w:r w:rsidR="00705363" w:rsidRPr="00984AE0">
        <w:rPr>
          <w:lang w:val="sr-Cyrl-RS"/>
        </w:rPr>
        <w:t>б</w:t>
      </w:r>
      <w:r w:rsidR="00DF4729" w:rsidRPr="00984AE0">
        <w:rPr>
          <w:lang w:val="sr-Cyrl-RS"/>
        </w:rPr>
        <w:t>еглице у</w:t>
      </w:r>
      <w:r w:rsidR="00705363" w:rsidRPr="00984AE0">
        <w:rPr>
          <w:lang w:val="sr-Cyrl-RS"/>
        </w:rPr>
        <w:t xml:space="preserve"> свом саставу има Сектор за изб</w:t>
      </w:r>
      <w:r w:rsidR="00DF4729" w:rsidRPr="00984AE0">
        <w:rPr>
          <w:lang w:val="sr-Cyrl-RS"/>
        </w:rPr>
        <w:t>еглице, расељене особе и стамбену политику.</w:t>
      </w:r>
      <w:r w:rsidR="00705363" w:rsidRPr="00984AE0">
        <w:rPr>
          <w:rStyle w:val="FootnoteReference"/>
          <w:lang w:val="sr-Cyrl-RS"/>
        </w:rPr>
        <w:footnoteReference w:id="23"/>
      </w:r>
    </w:p>
    <w:p w:rsidR="00004060" w:rsidRDefault="00FF6CD8" w:rsidP="00870660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 w:rsidRPr="00984AE0">
        <w:rPr>
          <w:color w:val="222222"/>
          <w:lang w:val="sr-Latn-RS"/>
        </w:rPr>
        <w:t>У Словенији</w:t>
      </w:r>
      <w:r w:rsidR="0031659F">
        <w:rPr>
          <w:color w:val="222222"/>
          <w:lang w:val="sr-Cyrl-RS"/>
        </w:rPr>
        <w:t xml:space="preserve"> је </w:t>
      </w:r>
      <w:r w:rsidR="0031659F">
        <w:rPr>
          <w:color w:val="222222"/>
          <w:lang w:val="sr-Latn-RS"/>
        </w:rPr>
        <w:t>забележен</w:t>
      </w:r>
      <w:r w:rsidR="0031659F">
        <w:rPr>
          <w:color w:val="222222"/>
          <w:lang w:val="sr-Cyrl-RS"/>
        </w:rPr>
        <w:t>о</w:t>
      </w:r>
      <w:r w:rsidR="0031659F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прво повећање броја миграната крај</w:t>
      </w:r>
      <w:r>
        <w:rPr>
          <w:color w:val="222222"/>
          <w:lang w:val="sr-Cyrl-RS"/>
        </w:rPr>
        <w:t>ем с</w:t>
      </w:r>
      <w:r>
        <w:rPr>
          <w:color w:val="222222"/>
          <w:lang w:val="sr-Latn-RS"/>
        </w:rPr>
        <w:t>ептембр</w:t>
      </w:r>
      <w:r>
        <w:rPr>
          <w:color w:val="222222"/>
          <w:lang w:val="sr-Cyrl-RS"/>
        </w:rPr>
        <w:t>а</w:t>
      </w:r>
      <w:r w:rsidR="00AC1B31">
        <w:rPr>
          <w:color w:val="222222"/>
          <w:lang w:val="sr-Latn-RS"/>
        </w:rPr>
        <w:t xml:space="preserve"> 2015. </w:t>
      </w:r>
      <w:r w:rsidR="00AC1B31">
        <w:rPr>
          <w:color w:val="222222"/>
          <w:lang w:val="sr-Cyrl-RS"/>
        </w:rPr>
        <w:t>године. Н</w:t>
      </w:r>
      <w:r>
        <w:rPr>
          <w:color w:val="222222"/>
          <w:lang w:val="sr-Latn-RS"/>
        </w:rPr>
        <w:t xml:space="preserve">акон одлуке Мађарске средином октобра 2015. </w:t>
      </w:r>
      <w:r w:rsidR="00972537">
        <w:rPr>
          <w:color w:val="222222"/>
          <w:lang w:val="sr-Cyrl-RS"/>
        </w:rPr>
        <w:t xml:space="preserve">године </w:t>
      </w:r>
      <w:r w:rsidR="00AC1B31">
        <w:rPr>
          <w:color w:val="222222"/>
          <w:lang w:val="sr-Cyrl-RS"/>
        </w:rPr>
        <w:t>о</w:t>
      </w:r>
      <w:r>
        <w:rPr>
          <w:color w:val="222222"/>
          <w:lang w:val="sr-Cyrl-RS"/>
        </w:rPr>
        <w:t xml:space="preserve"> затварању граница за прелазак миграната, уследио је </w:t>
      </w:r>
      <w:r>
        <w:rPr>
          <w:color w:val="222222"/>
          <w:lang w:val="sr-Latn-RS"/>
        </w:rPr>
        <w:t xml:space="preserve">други, знатно већи талас миграната. </w:t>
      </w:r>
      <w:r>
        <w:rPr>
          <w:color w:val="222222"/>
          <w:lang w:val="sr-Cyrl-RS"/>
        </w:rPr>
        <w:t>Према подацима истраживача из Парламента</w:t>
      </w:r>
      <w:r>
        <w:rPr>
          <w:color w:val="222222"/>
          <w:lang w:val="sr-Latn-RS"/>
        </w:rPr>
        <w:t xml:space="preserve"> Словеније, </w:t>
      </w:r>
      <w:r>
        <w:rPr>
          <w:color w:val="222222"/>
          <w:lang w:val="sr-Cyrl-RS"/>
        </w:rPr>
        <w:t xml:space="preserve">ова држава </w:t>
      </w:r>
      <w:r>
        <w:rPr>
          <w:color w:val="222222"/>
          <w:lang w:val="sr-Latn-RS"/>
        </w:rPr>
        <w:t>је постала главн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тачк</w:t>
      </w:r>
      <w:r>
        <w:rPr>
          <w:color w:val="222222"/>
          <w:lang w:val="sr-Cyrl-RS"/>
        </w:rPr>
        <w:t>а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за </w:t>
      </w:r>
      <w:r>
        <w:rPr>
          <w:color w:val="222222"/>
          <w:lang w:val="sr-Latn-RS"/>
        </w:rPr>
        <w:t>прелазак на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хиљаде миграна</w:t>
      </w:r>
      <w:r w:rsidR="00BD5DF8">
        <w:rPr>
          <w:color w:val="222222"/>
          <w:lang w:val="sr-Latn-RS"/>
        </w:rPr>
        <w:t>та који су желели да наставе пут</w:t>
      </w:r>
      <w:r>
        <w:rPr>
          <w:color w:val="222222"/>
          <w:lang w:val="sr-Latn-RS"/>
        </w:rPr>
        <w:t xml:space="preserve"> ка </w:t>
      </w:r>
      <w:r>
        <w:rPr>
          <w:color w:val="222222"/>
          <w:lang w:val="sr-Cyrl-RS"/>
        </w:rPr>
        <w:t>земљама</w:t>
      </w:r>
      <w:r>
        <w:rPr>
          <w:color w:val="222222"/>
          <w:lang w:val="sr-Latn-RS"/>
        </w:rPr>
        <w:t xml:space="preserve"> западне Европе.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Други талас дола</w:t>
      </w:r>
      <w:r>
        <w:rPr>
          <w:color w:val="222222"/>
          <w:lang w:val="sr-Cyrl-RS"/>
        </w:rPr>
        <w:t xml:space="preserve">ска 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м</w:t>
      </w:r>
      <w:r>
        <w:rPr>
          <w:color w:val="222222"/>
          <w:lang w:val="sr-Latn-RS"/>
        </w:rPr>
        <w:t>игран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т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</w:t>
      </w:r>
      <w:r w:rsidR="00BD5DF8">
        <w:rPr>
          <w:color w:val="222222"/>
          <w:lang w:val="sr-Cyrl-RS"/>
        </w:rPr>
        <w:t>у Словенију</w:t>
      </w:r>
      <w:r>
        <w:rPr>
          <w:color w:val="222222"/>
          <w:lang w:val="sr-Cyrl-RS"/>
        </w:rPr>
        <w:t xml:space="preserve"> </w:t>
      </w:r>
      <w:r w:rsidR="00AC1B31">
        <w:rPr>
          <w:color w:val="222222"/>
          <w:lang w:val="sr-Cyrl-RS"/>
        </w:rPr>
        <w:t>довео је</w:t>
      </w:r>
      <w:r>
        <w:rPr>
          <w:color w:val="222222"/>
          <w:lang w:val="sr-Cyrl-RS"/>
        </w:rPr>
        <w:t xml:space="preserve"> до</w:t>
      </w:r>
      <w:r>
        <w:rPr>
          <w:color w:val="222222"/>
          <w:lang w:val="sr-Latn-RS"/>
        </w:rPr>
        <w:t xml:space="preserve"> активирање система националне безбедности, </w:t>
      </w:r>
      <w:r>
        <w:rPr>
          <w:color w:val="222222"/>
          <w:lang w:val="sr-Cyrl-RS"/>
        </w:rPr>
        <w:t>с</w:t>
      </w:r>
      <w:r w:rsidR="004F2A17">
        <w:rPr>
          <w:color w:val="222222"/>
          <w:lang w:val="sr-Cyrl-RS"/>
        </w:rPr>
        <w:t>арадње</w:t>
      </w:r>
      <w:r>
        <w:rPr>
          <w:color w:val="222222"/>
          <w:lang w:val="sr-Cyrl-RS"/>
        </w:rPr>
        <w:t xml:space="preserve"> са </w:t>
      </w:r>
      <w:r>
        <w:rPr>
          <w:color w:val="222222"/>
          <w:lang w:val="sr-Cyrl-RS"/>
        </w:rPr>
        <w:lastRenderedPageBreak/>
        <w:t>х</w:t>
      </w:r>
      <w:r>
        <w:rPr>
          <w:color w:val="222222"/>
          <w:lang w:val="sr-Latn-RS"/>
        </w:rPr>
        <w:t>уманитарн</w:t>
      </w:r>
      <w:r>
        <w:rPr>
          <w:color w:val="222222"/>
          <w:lang w:val="sr-Cyrl-RS"/>
        </w:rPr>
        <w:t>им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организаци</w:t>
      </w:r>
      <w:r>
        <w:rPr>
          <w:color w:val="222222"/>
          <w:lang w:val="sr-Cyrl-RS"/>
        </w:rPr>
        <w:t xml:space="preserve">јама </w:t>
      </w:r>
      <w:r w:rsidR="00AC1B31">
        <w:rPr>
          <w:color w:val="222222"/>
          <w:lang w:val="sr-Latn-RS"/>
        </w:rPr>
        <w:t xml:space="preserve">и </w:t>
      </w:r>
      <w:r w:rsidR="004F2A17">
        <w:rPr>
          <w:color w:val="222222"/>
          <w:lang w:val="sr-Cyrl-RS"/>
        </w:rPr>
        <w:t>активније</w:t>
      </w:r>
      <w:r w:rsidR="00AC1B31">
        <w:rPr>
          <w:color w:val="222222"/>
          <w:lang w:val="sr-Latn-RS"/>
        </w:rPr>
        <w:t xml:space="preserve"> међународн</w:t>
      </w:r>
      <w:r w:rsidR="004F2A17">
        <w:rPr>
          <w:color w:val="222222"/>
          <w:lang w:val="sr-Cyrl-RS"/>
        </w:rPr>
        <w:t>е</w:t>
      </w:r>
      <w:r w:rsidR="00AC1B31">
        <w:rPr>
          <w:color w:val="222222"/>
          <w:lang w:val="sr-Latn-RS"/>
        </w:rPr>
        <w:t xml:space="preserve"> сарадњ</w:t>
      </w:r>
      <w:r w:rsidR="004F2A17">
        <w:rPr>
          <w:color w:val="222222"/>
          <w:lang w:val="sr-Cyrl-RS"/>
        </w:rPr>
        <w:t>е</w:t>
      </w:r>
      <w:r>
        <w:rPr>
          <w:color w:val="222222"/>
          <w:lang w:val="sr-Latn-RS"/>
        </w:rPr>
        <w:t>.</w:t>
      </w:r>
      <w:r w:rsidR="009725A7">
        <w:rPr>
          <w:color w:val="222222"/>
          <w:lang w:val="sr-Cyrl-RS"/>
        </w:rPr>
        <w:t xml:space="preserve"> </w:t>
      </w:r>
      <w:r w:rsidR="00AC1B31">
        <w:rPr>
          <w:color w:val="222222"/>
          <w:lang w:val="sr-Cyrl-RS"/>
        </w:rPr>
        <w:t>Сле</w:t>
      </w:r>
      <w:r>
        <w:rPr>
          <w:color w:val="222222"/>
          <w:lang w:val="sr-Cyrl-RS"/>
        </w:rPr>
        <w:t>де</w:t>
      </w:r>
      <w:r>
        <w:rPr>
          <w:color w:val="222222"/>
          <w:lang w:val="sr-Latn-RS"/>
        </w:rPr>
        <w:t xml:space="preserve"> основн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статистичк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пода</w:t>
      </w:r>
      <w:r>
        <w:rPr>
          <w:color w:val="222222"/>
          <w:lang w:val="sr-Cyrl-RS"/>
        </w:rPr>
        <w:t>ци</w:t>
      </w:r>
      <w:r>
        <w:rPr>
          <w:color w:val="222222"/>
          <w:lang w:val="sr-Latn-RS"/>
        </w:rPr>
        <w:t xml:space="preserve"> који се односе на миграцион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токо</w:t>
      </w:r>
      <w:r>
        <w:rPr>
          <w:color w:val="222222"/>
          <w:lang w:val="sr-Cyrl-RS"/>
        </w:rPr>
        <w:t>ве</w:t>
      </w:r>
      <w:r>
        <w:rPr>
          <w:rStyle w:val="FootnoteReference"/>
          <w:color w:val="222222"/>
          <w:lang w:val="sr-Cyrl-RS"/>
        </w:rPr>
        <w:footnoteReference w:id="24"/>
      </w:r>
    </w:p>
    <w:p w:rsidR="004F2A17" w:rsidRDefault="004F2A17" w:rsidP="000416BB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972537" w:rsidRDefault="00004060" w:rsidP="000416BB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Други талас миграната, када је Словенија </w:t>
      </w:r>
      <w:r>
        <w:rPr>
          <w:color w:val="222222"/>
          <w:lang w:val="sr-Cyrl-RS"/>
        </w:rPr>
        <w:t xml:space="preserve">у питању </w:t>
      </w:r>
      <w:r w:rsidR="004F2A17">
        <w:rPr>
          <w:color w:val="222222"/>
          <w:lang w:val="sr-Cyrl-RS"/>
        </w:rPr>
        <w:t xml:space="preserve">то </w:t>
      </w:r>
      <w:r>
        <w:rPr>
          <w:color w:val="222222"/>
          <w:lang w:val="sr-Cyrl-RS"/>
        </w:rPr>
        <w:t>је</w:t>
      </w:r>
      <w:r>
        <w:rPr>
          <w:color w:val="222222"/>
          <w:lang w:val="sr-Latn-RS"/>
        </w:rPr>
        <w:t xml:space="preserve"> готов</w:t>
      </w:r>
      <w:r w:rsidR="004F2A17">
        <w:rPr>
          <w:color w:val="222222"/>
          <w:lang w:val="sr-Latn-RS"/>
        </w:rPr>
        <w:t>о пола милиона миграната, 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највећи број  био</w:t>
      </w:r>
      <w:r w:rsidR="004F2A17">
        <w:rPr>
          <w:color w:val="222222"/>
          <w:lang w:val="sr-Cyrl-RS"/>
        </w:rPr>
        <w:t xml:space="preserve"> је</w:t>
      </w:r>
      <w:r>
        <w:rPr>
          <w:color w:val="222222"/>
          <w:lang w:val="sr-Cyrl-RS"/>
        </w:rPr>
        <w:t xml:space="preserve"> у периоду од </w:t>
      </w:r>
      <w:r w:rsidR="004F2A17">
        <w:rPr>
          <w:color w:val="222222"/>
          <w:lang w:val="sr-Latn-RS"/>
        </w:rPr>
        <w:t>16.10.</w:t>
      </w:r>
      <w:r>
        <w:rPr>
          <w:color w:val="222222"/>
          <w:lang w:val="sr-Latn-RS"/>
        </w:rPr>
        <w:t>2015</w:t>
      </w:r>
      <w:r w:rsidR="004F2A17">
        <w:rPr>
          <w:color w:val="222222"/>
          <w:lang w:val="sr-Cyrl-RS"/>
        </w:rPr>
        <w:t>.</w:t>
      </w:r>
      <w:r w:rsidR="009725A7">
        <w:rPr>
          <w:color w:val="222222"/>
          <w:lang w:val="sr-Cyrl-RS"/>
        </w:rPr>
        <w:t xml:space="preserve"> </w:t>
      </w:r>
      <w:r w:rsidR="004F2A17">
        <w:rPr>
          <w:color w:val="222222"/>
          <w:lang w:val="sr-Latn-RS"/>
        </w:rPr>
        <w:t>(након одлуке Мађарск</w:t>
      </w:r>
      <w:r w:rsidR="004F2A17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да зат</w:t>
      </w:r>
      <w:r w:rsidR="004F2A17">
        <w:rPr>
          <w:color w:val="222222"/>
          <w:lang w:val="sr-Latn-RS"/>
        </w:rPr>
        <w:t>вори границу) и трајао је до 8.3.</w:t>
      </w:r>
      <w:r>
        <w:rPr>
          <w:color w:val="222222"/>
          <w:lang w:val="sr-Latn-RS"/>
        </w:rPr>
        <w:t>2016</w:t>
      </w:r>
      <w:r w:rsidR="004F2A17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(када је донета одлука да се миграциј</w:t>
      </w:r>
      <w:r w:rsidR="00972537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на </w:t>
      </w:r>
      <w:r w:rsidR="00972537">
        <w:rPr>
          <w:color w:val="222222"/>
          <w:lang w:val="sr-Cyrl-RS"/>
        </w:rPr>
        <w:t>Балканском путу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затвори</w:t>
      </w:r>
      <w:r>
        <w:rPr>
          <w:color w:val="222222"/>
          <w:lang w:val="sr-Latn-RS"/>
        </w:rPr>
        <w:t>).</w:t>
      </w:r>
      <w:r w:rsidR="00972537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Дневни</w:t>
      </w:r>
      <w:r>
        <w:rPr>
          <w:color w:val="222222"/>
          <w:lang w:val="sr-Cyrl-RS"/>
        </w:rPr>
        <w:t>х</w:t>
      </w:r>
      <w:r>
        <w:rPr>
          <w:color w:val="222222"/>
          <w:lang w:val="sr-Latn-RS"/>
        </w:rPr>
        <w:t xml:space="preserve"> долазака било </w:t>
      </w:r>
      <w:r>
        <w:rPr>
          <w:color w:val="222222"/>
          <w:lang w:val="sr-Cyrl-RS"/>
        </w:rPr>
        <w:t xml:space="preserve">је </w:t>
      </w:r>
      <w:r w:rsidR="0067784C">
        <w:rPr>
          <w:color w:val="222222"/>
          <w:lang w:val="sr-Latn-RS"/>
        </w:rPr>
        <w:t xml:space="preserve">између 8.000 и 9.000 </w:t>
      </w:r>
      <w:r w:rsidR="0067784C">
        <w:rPr>
          <w:color w:val="222222"/>
          <w:lang w:val="sr-Cyrl-RS"/>
        </w:rPr>
        <w:t>лица</w:t>
      </w:r>
      <w:r>
        <w:rPr>
          <w:color w:val="222222"/>
          <w:lang w:val="sr-Latn-RS"/>
        </w:rPr>
        <w:t xml:space="preserve">, повремено </w:t>
      </w:r>
      <w:r>
        <w:rPr>
          <w:color w:val="222222"/>
          <w:lang w:val="sr-Cyrl-RS"/>
        </w:rPr>
        <w:t>је</w:t>
      </w:r>
      <w:r>
        <w:rPr>
          <w:color w:val="222222"/>
          <w:lang w:val="sr-Latn-RS"/>
        </w:rPr>
        <w:t xml:space="preserve"> број </w:t>
      </w:r>
      <w:r>
        <w:rPr>
          <w:color w:val="222222"/>
          <w:lang w:val="sr-Cyrl-RS"/>
        </w:rPr>
        <w:t>износио</w:t>
      </w:r>
      <w:r>
        <w:rPr>
          <w:color w:val="222222"/>
          <w:lang w:val="sr-Latn-RS"/>
        </w:rPr>
        <w:t xml:space="preserve"> 10.000, највише</w:t>
      </w:r>
      <w:r w:rsidR="0067784C">
        <w:rPr>
          <w:color w:val="222222"/>
          <w:lang w:val="sr-Cyrl-RS"/>
        </w:rPr>
        <w:t xml:space="preserve"> 21. октобра</w:t>
      </w:r>
      <w:r w:rsidR="004F2A17">
        <w:rPr>
          <w:color w:val="222222"/>
          <w:lang w:val="sr-Latn-RS"/>
        </w:rPr>
        <w:t xml:space="preserve"> 2015</w:t>
      </w:r>
      <w:r w:rsidR="004F2A17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када је </w:t>
      </w:r>
      <w:r>
        <w:rPr>
          <w:color w:val="222222"/>
          <w:lang w:val="sr-Cyrl-RS"/>
        </w:rPr>
        <w:t xml:space="preserve">на </w:t>
      </w:r>
      <w:r>
        <w:rPr>
          <w:color w:val="222222"/>
          <w:lang w:val="sr-Latn-RS"/>
        </w:rPr>
        <w:t>териториј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Словеније </w:t>
      </w:r>
      <w:r>
        <w:rPr>
          <w:color w:val="222222"/>
          <w:lang w:val="sr-Cyrl-RS"/>
        </w:rPr>
        <w:t>ушло</w:t>
      </w:r>
      <w:r w:rsidR="00972537">
        <w:rPr>
          <w:color w:val="222222"/>
          <w:lang w:val="sr-Latn-RS"/>
        </w:rPr>
        <w:t xml:space="preserve"> нешто мање од 13.000 </w:t>
      </w:r>
      <w:r>
        <w:rPr>
          <w:color w:val="222222"/>
          <w:lang w:val="sr-Latn-RS"/>
        </w:rPr>
        <w:t>миграната.</w:t>
      </w:r>
      <w:r w:rsidR="009725A7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Након </w:t>
      </w:r>
      <w:r>
        <w:rPr>
          <w:color w:val="222222"/>
          <w:lang w:val="sr-Cyrl-RS"/>
        </w:rPr>
        <w:t>новембра</w:t>
      </w:r>
      <w:r w:rsidR="0067784C">
        <w:rPr>
          <w:color w:val="222222"/>
          <w:lang w:val="sr-Latn-RS"/>
        </w:rPr>
        <w:t xml:space="preserve"> 2015, миграци</w:t>
      </w:r>
      <w:r w:rsidR="0067784C">
        <w:rPr>
          <w:color w:val="222222"/>
          <w:lang w:val="sr-Cyrl-RS"/>
        </w:rPr>
        <w:t>јски</w:t>
      </w:r>
      <w:r>
        <w:rPr>
          <w:color w:val="222222"/>
          <w:lang w:val="sr-Latn-RS"/>
        </w:rPr>
        <w:t xml:space="preserve"> ток незнатно </w:t>
      </w:r>
      <w:r>
        <w:rPr>
          <w:color w:val="222222"/>
          <w:lang w:val="sr-Cyrl-RS"/>
        </w:rPr>
        <w:t xml:space="preserve">је </w:t>
      </w:r>
      <w:r w:rsidR="00972537">
        <w:rPr>
          <w:color w:val="222222"/>
          <w:lang w:val="sr-Cyrl-RS"/>
        </w:rPr>
        <w:t xml:space="preserve">опао </w:t>
      </w:r>
      <w:r>
        <w:rPr>
          <w:color w:val="222222"/>
          <w:lang w:val="sr-Latn-RS"/>
        </w:rPr>
        <w:t>и стабилизова</w:t>
      </w:r>
      <w:r>
        <w:rPr>
          <w:color w:val="222222"/>
          <w:lang w:val="sr-Cyrl-RS"/>
        </w:rPr>
        <w:t>о се</w:t>
      </w:r>
      <w:r>
        <w:rPr>
          <w:color w:val="222222"/>
          <w:lang w:val="sr-Latn-RS"/>
        </w:rPr>
        <w:t xml:space="preserve"> на око 6.000 до 7.000 </w:t>
      </w:r>
      <w:r w:rsidR="0067784C">
        <w:rPr>
          <w:color w:val="222222"/>
          <w:lang w:val="sr-Cyrl-RS"/>
        </w:rPr>
        <w:t>лица</w:t>
      </w:r>
      <w:r>
        <w:rPr>
          <w:color w:val="222222"/>
          <w:lang w:val="sr-Latn-RS"/>
        </w:rPr>
        <w:t xml:space="preserve"> дневно. Крајем новембра </w:t>
      </w:r>
      <w:r w:rsidR="009725A7">
        <w:rPr>
          <w:color w:val="222222"/>
          <w:lang w:val="sr-Cyrl-RS"/>
        </w:rPr>
        <w:t>прошле године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почело</w:t>
      </w:r>
      <w:r>
        <w:rPr>
          <w:color w:val="222222"/>
          <w:lang w:val="sr-Latn-RS"/>
        </w:rPr>
        <w:t xml:space="preserve"> </w:t>
      </w:r>
      <w:r w:rsidR="0067784C">
        <w:rPr>
          <w:color w:val="222222"/>
          <w:lang w:val="sr-Cyrl-RS"/>
        </w:rPr>
        <w:t xml:space="preserve">је </w:t>
      </w:r>
      <w:r>
        <w:rPr>
          <w:color w:val="222222"/>
          <w:lang w:val="sr-Latn-RS"/>
        </w:rPr>
        <w:t>смањ</w:t>
      </w:r>
      <w:r>
        <w:rPr>
          <w:color w:val="222222"/>
          <w:lang w:val="sr-Cyrl-RS"/>
        </w:rPr>
        <w:t>ење</w:t>
      </w:r>
      <w:r>
        <w:rPr>
          <w:color w:val="222222"/>
          <w:lang w:val="sr-Latn-RS"/>
        </w:rPr>
        <w:t xml:space="preserve"> број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миграната на 2.000 до 3.000 дневно. </w:t>
      </w:r>
      <w:r w:rsidR="009725A7">
        <w:rPr>
          <w:color w:val="222222"/>
          <w:lang w:val="sr-Cyrl-RS"/>
        </w:rPr>
        <w:t xml:space="preserve">У </w:t>
      </w:r>
      <w:r w:rsidR="009725A7">
        <w:rPr>
          <w:color w:val="222222"/>
          <w:lang w:val="sr-Latn-RS"/>
        </w:rPr>
        <w:t>другом таласу (</w:t>
      </w:r>
      <w:r w:rsidR="009725A7">
        <w:rPr>
          <w:color w:val="222222"/>
          <w:lang w:val="sr-Cyrl-RS"/>
        </w:rPr>
        <w:t xml:space="preserve">од </w:t>
      </w:r>
      <w:r w:rsidR="0067784C">
        <w:rPr>
          <w:color w:val="222222"/>
          <w:lang w:val="sr-Latn-RS"/>
        </w:rPr>
        <w:t>октобра до јануара)</w:t>
      </w:r>
      <w:r w:rsidR="0067784C">
        <w:rPr>
          <w:color w:val="222222"/>
          <w:lang w:val="sr-Cyrl-RS"/>
        </w:rPr>
        <w:t xml:space="preserve"> полна структура је следећа: </w:t>
      </w:r>
      <w:r w:rsidR="009725A7">
        <w:rPr>
          <w:color w:val="222222"/>
          <w:lang w:val="sr-Cyrl-RS"/>
        </w:rPr>
        <w:t>м</w:t>
      </w:r>
      <w:r w:rsidR="009725A7">
        <w:rPr>
          <w:color w:val="222222"/>
          <w:lang w:val="sr-Latn-RS"/>
        </w:rPr>
        <w:t>ушкарци</w:t>
      </w:r>
      <w:r w:rsidR="0067784C">
        <w:rPr>
          <w:color w:val="222222"/>
          <w:lang w:val="sr-Cyrl-RS"/>
        </w:rPr>
        <w:t xml:space="preserve"> </w:t>
      </w:r>
      <w:r w:rsidR="009725A7">
        <w:rPr>
          <w:color w:val="222222"/>
          <w:lang w:val="sr-Latn-RS"/>
        </w:rPr>
        <w:t>48,7</w:t>
      </w:r>
      <w:r w:rsidR="009725A7">
        <w:rPr>
          <w:color w:val="222222"/>
          <w:lang w:val="sr-Cyrl-RS"/>
        </w:rPr>
        <w:t>% а ж</w:t>
      </w:r>
      <w:r w:rsidR="0067784C">
        <w:rPr>
          <w:color w:val="222222"/>
          <w:lang w:val="sr-Latn-RS"/>
        </w:rPr>
        <w:t>ене и деца</w:t>
      </w:r>
      <w:r w:rsidR="009725A7">
        <w:rPr>
          <w:color w:val="222222"/>
          <w:lang w:val="sr-Latn-RS"/>
        </w:rPr>
        <w:t xml:space="preserve"> 51.3%.</w:t>
      </w:r>
      <w:r w:rsidR="009725A7">
        <w:rPr>
          <w:color w:val="222222"/>
          <w:lang w:val="sr-Cyrl-RS"/>
        </w:rPr>
        <w:t xml:space="preserve"> </w:t>
      </w:r>
      <w:r w:rsidR="009725A7">
        <w:rPr>
          <w:color w:val="222222"/>
          <w:lang w:val="sr-Latn-RS"/>
        </w:rPr>
        <w:t xml:space="preserve">У </w:t>
      </w:r>
      <w:r w:rsidR="00972537">
        <w:rPr>
          <w:color w:val="222222"/>
          <w:lang w:val="sr-Cyrl-RS"/>
        </w:rPr>
        <w:t>погледу</w:t>
      </w:r>
      <w:r w:rsidR="009725A7">
        <w:rPr>
          <w:color w:val="222222"/>
          <w:lang w:val="sr-Latn-RS"/>
        </w:rPr>
        <w:t xml:space="preserve"> националности, одн</w:t>
      </w:r>
      <w:r w:rsidR="0067784C">
        <w:rPr>
          <w:color w:val="222222"/>
          <w:lang w:val="sr-Latn-RS"/>
        </w:rPr>
        <w:t xml:space="preserve">ос миграната </w:t>
      </w:r>
      <w:r w:rsidR="0067784C">
        <w:rPr>
          <w:color w:val="222222"/>
          <w:lang w:val="sr-Cyrl-RS"/>
        </w:rPr>
        <w:t>је</w:t>
      </w:r>
      <w:r w:rsidR="0067784C">
        <w:rPr>
          <w:color w:val="222222"/>
          <w:lang w:val="sr-Latn-RS"/>
        </w:rPr>
        <w:t>:</w:t>
      </w:r>
      <w:r w:rsidR="0067784C">
        <w:rPr>
          <w:color w:val="222222"/>
          <w:lang w:val="sr-Cyrl-RS"/>
        </w:rPr>
        <w:t xml:space="preserve"> </w:t>
      </w:r>
      <w:r w:rsidR="009725A7">
        <w:rPr>
          <w:color w:val="222222"/>
          <w:lang w:val="sr-Latn-RS"/>
        </w:rPr>
        <w:t>Сирија 45%</w:t>
      </w:r>
      <w:r w:rsidR="0067784C">
        <w:rPr>
          <w:color w:val="222222"/>
          <w:lang w:val="sr-Cyrl-RS"/>
        </w:rPr>
        <w:t xml:space="preserve">; </w:t>
      </w:r>
      <w:r w:rsidR="009725A7">
        <w:rPr>
          <w:color w:val="222222"/>
          <w:lang w:val="sr-Latn-RS"/>
        </w:rPr>
        <w:t xml:space="preserve"> Авганистан 30%</w:t>
      </w:r>
      <w:r w:rsidR="0067784C">
        <w:rPr>
          <w:color w:val="222222"/>
          <w:lang w:val="sr-Cyrl-RS"/>
        </w:rPr>
        <w:t xml:space="preserve">, </w:t>
      </w:r>
      <w:r w:rsidR="009725A7">
        <w:rPr>
          <w:color w:val="222222"/>
          <w:lang w:val="sr-Latn-RS"/>
        </w:rPr>
        <w:t>Ирак 17%</w:t>
      </w:r>
      <w:r w:rsidR="0067784C">
        <w:rPr>
          <w:color w:val="222222"/>
          <w:lang w:val="sr-Cyrl-RS"/>
        </w:rPr>
        <w:t>, о</w:t>
      </w:r>
      <w:r w:rsidR="009725A7">
        <w:rPr>
          <w:color w:val="222222"/>
          <w:lang w:val="sr-Latn-RS"/>
        </w:rPr>
        <w:t>стали 7%</w:t>
      </w:r>
      <w:r w:rsidR="0067784C">
        <w:rPr>
          <w:color w:val="222222"/>
          <w:lang w:val="sr-Cyrl-RS"/>
        </w:rPr>
        <w:t>,</w:t>
      </w:r>
      <w:r w:rsidR="0067784C">
        <w:rPr>
          <w:color w:val="222222"/>
          <w:lang w:val="sr-Latn-RS"/>
        </w:rPr>
        <w:t xml:space="preserve"> Пакистан</w:t>
      </w:r>
      <w:r w:rsidR="009725A7">
        <w:rPr>
          <w:color w:val="222222"/>
          <w:lang w:val="sr-Latn-RS"/>
        </w:rPr>
        <w:t xml:space="preserve"> 1%</w:t>
      </w:r>
      <w:r w:rsidR="00AC1B31">
        <w:rPr>
          <w:rStyle w:val="FootnoteReference"/>
          <w:color w:val="222222"/>
          <w:lang w:val="sr-Latn-RS"/>
        </w:rPr>
        <w:footnoteReference w:id="25"/>
      </w:r>
      <w:r w:rsidR="006843E1">
        <w:rPr>
          <w:color w:val="222222"/>
          <w:lang w:val="sr-Cyrl-RS"/>
        </w:rPr>
        <w:t xml:space="preserve">. </w:t>
      </w:r>
    </w:p>
    <w:p w:rsidR="00972537" w:rsidRDefault="00972537" w:rsidP="000416BB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9725A7" w:rsidRPr="004F2A17" w:rsidRDefault="00836DF9" w:rsidP="004F2A17">
      <w:pPr>
        <w:spacing w:line="360" w:lineRule="auto"/>
        <w:jc w:val="both"/>
        <w:rPr>
          <w:rFonts w:eastAsia="Times New Roman"/>
          <w:sz w:val="28"/>
          <w:szCs w:val="28"/>
          <w:lang w:val="ru-RU"/>
        </w:rPr>
      </w:pPr>
      <w:r>
        <w:rPr>
          <w:color w:val="222222"/>
          <w:lang w:val="sr-Cyrl-RS"/>
        </w:rPr>
        <w:t>Што се тиче законодавне активности, словеначки Парламент</w:t>
      </w:r>
      <w:r>
        <w:rPr>
          <w:color w:val="222222"/>
          <w:lang w:val="sr-Latn-RS"/>
        </w:rPr>
        <w:t xml:space="preserve"> је 4. марта 2016. године усвоји</w:t>
      </w:r>
      <w:r>
        <w:rPr>
          <w:color w:val="222222"/>
          <w:lang w:val="sr-Cyrl-RS"/>
        </w:rPr>
        <w:t>о</w:t>
      </w:r>
      <w:r>
        <w:rPr>
          <w:color w:val="222222"/>
          <w:lang w:val="sr-Latn-RS"/>
        </w:rPr>
        <w:t xml:space="preserve"> нови Закон о међународној заштити</w:t>
      </w:r>
      <w:r>
        <w:rPr>
          <w:color w:val="222222"/>
          <w:lang w:val="sr-Cyrl-RS"/>
        </w:rPr>
        <w:t xml:space="preserve">: </w:t>
      </w:r>
      <w:r w:rsidRPr="004F2A17">
        <w:rPr>
          <w:rFonts w:eastAsia="Times New Roman"/>
          <w:i/>
          <w:lang w:val="sr-Latn-BA"/>
        </w:rPr>
        <w:t>Zakon o mednarodni zaščiti</w:t>
      </w:r>
      <w:r w:rsidRPr="00111876">
        <w:rPr>
          <w:rFonts w:eastAsia="Times New Roman"/>
          <w:i/>
          <w:lang w:val="ru-RU"/>
        </w:rPr>
        <w:t xml:space="preserve"> </w:t>
      </w:r>
      <w:r w:rsidRPr="00836DF9">
        <w:rPr>
          <w:rFonts w:eastAsia="Times New Roman"/>
          <w:i/>
          <w:lang w:val="sr-Cyrl-RS"/>
        </w:rPr>
        <w:t xml:space="preserve"> </w:t>
      </w:r>
      <w:r w:rsidRPr="00111876">
        <w:rPr>
          <w:rFonts w:eastAsia="Times New Roman"/>
          <w:i/>
          <w:lang w:val="ru-RU"/>
        </w:rPr>
        <w:t>(</w:t>
      </w:r>
      <w:r>
        <w:rPr>
          <w:rFonts w:eastAsia="Times New Roman"/>
          <w:i/>
          <w:lang w:val="sr-Cyrl-RS"/>
        </w:rPr>
        <w:t>Уредни лист РС,</w:t>
      </w:r>
      <w:r w:rsidRPr="00111876">
        <w:rPr>
          <w:rFonts w:eastAsia="Times New Roman"/>
          <w:i/>
          <w:lang w:val="ru-RU"/>
        </w:rPr>
        <w:t xml:space="preserve"> 22/2016)</w:t>
      </w:r>
      <w:r>
        <w:rPr>
          <w:color w:val="222222"/>
          <w:lang w:val="sr-Cyrl-RS"/>
        </w:rPr>
        <w:t>. Р</w:t>
      </w:r>
      <w:r>
        <w:rPr>
          <w:color w:val="222222"/>
          <w:lang w:val="sr-Latn-RS"/>
        </w:rPr>
        <w:t>азлог за доношење закона је обавеза пренес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законодавств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ЕУ у националн</w:t>
      </w:r>
      <w:r>
        <w:rPr>
          <w:color w:val="222222"/>
          <w:lang w:val="sr-Cyrl-RS"/>
        </w:rPr>
        <w:t xml:space="preserve">о </w:t>
      </w:r>
      <w:r>
        <w:rPr>
          <w:color w:val="222222"/>
          <w:lang w:val="sr-Latn-RS"/>
        </w:rPr>
        <w:t>прав</w:t>
      </w:r>
      <w:r>
        <w:rPr>
          <w:color w:val="222222"/>
          <w:lang w:val="sr-Cyrl-RS"/>
        </w:rPr>
        <w:t>о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а односи се на </w:t>
      </w:r>
      <w:r>
        <w:rPr>
          <w:color w:val="222222"/>
          <w:lang w:val="sr-Latn-RS"/>
        </w:rPr>
        <w:t>две директиве</w:t>
      </w:r>
      <w:r w:rsidRPr="00111876">
        <w:rPr>
          <w:sz w:val="28"/>
          <w:szCs w:val="28"/>
          <w:lang w:val="ru-RU"/>
        </w:rPr>
        <w:t xml:space="preserve"> </w:t>
      </w:r>
      <w:r w:rsidR="004F2A17">
        <w:rPr>
          <w:color w:val="222222"/>
          <w:lang w:val="sr-Latn-RS"/>
        </w:rPr>
        <w:t xml:space="preserve"> (Директива 2013/32/</w:t>
      </w:r>
      <w:r>
        <w:rPr>
          <w:color w:val="222222"/>
          <w:lang w:val="sr-Latn-RS"/>
        </w:rPr>
        <w:t>ЕУ</w:t>
      </w:r>
      <w:r>
        <w:rPr>
          <w:color w:val="222222"/>
          <w:lang w:val="sr-Cyrl-RS"/>
        </w:rPr>
        <w:t xml:space="preserve"> </w:t>
      </w:r>
      <w:r w:rsidR="004F2A17">
        <w:rPr>
          <w:color w:val="222222"/>
          <w:lang w:val="sr-Latn-RS"/>
        </w:rPr>
        <w:t>и Директива 2013/33/ЕУ)</w:t>
      </w:r>
      <w:r>
        <w:rPr>
          <w:color w:val="222222"/>
          <w:lang w:val="sr-Latn-RS"/>
        </w:rPr>
        <w:t xml:space="preserve"> кој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регулишу</w:t>
      </w:r>
      <w:r>
        <w:rPr>
          <w:color w:val="222222"/>
          <w:lang w:val="sr-Cyrl-RS"/>
        </w:rPr>
        <w:t xml:space="preserve"> </w:t>
      </w:r>
      <w:r w:rsidR="004F2A17">
        <w:rPr>
          <w:color w:val="222222"/>
          <w:lang w:val="sr-Cyrl-RS"/>
        </w:rPr>
        <w:t>с</w:t>
      </w:r>
      <w:r>
        <w:rPr>
          <w:color w:val="222222"/>
          <w:lang w:val="sr-Latn-RS"/>
        </w:rPr>
        <w:t>тандард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о процедурама за одобравање међународне заштите и права и обавезе кандидата за међународну заштиту. Закон такође прописује детаљне модалитете за спровођење </w:t>
      </w:r>
      <w:r>
        <w:rPr>
          <w:color w:val="222222"/>
          <w:lang w:val="sr-Cyrl-RS"/>
        </w:rPr>
        <w:t>одређених у</w:t>
      </w:r>
      <w:r>
        <w:rPr>
          <w:color w:val="222222"/>
          <w:lang w:val="sr-Latn-RS"/>
        </w:rPr>
        <w:t>редб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Закон у великој мери задржава постојећи </w:t>
      </w:r>
      <w:r>
        <w:rPr>
          <w:color w:val="222222"/>
          <w:lang w:val="sr-Cyrl-RS"/>
        </w:rPr>
        <w:t xml:space="preserve">облик </w:t>
      </w:r>
      <w:r>
        <w:rPr>
          <w:color w:val="222222"/>
          <w:lang w:val="sr-Latn-RS"/>
        </w:rPr>
        <w:t>регулисање међународне заштите, у складу са ревидираним законодавством ЕУ</w:t>
      </w:r>
      <w:r w:rsidR="004F2A17"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односно п</w:t>
      </w:r>
      <w:r>
        <w:rPr>
          <w:color w:val="222222"/>
          <w:lang w:val="sr-Latn-RS"/>
        </w:rPr>
        <w:t>ојачани</w:t>
      </w:r>
      <w:r>
        <w:rPr>
          <w:color w:val="222222"/>
          <w:lang w:val="sr-Cyrl-RS"/>
        </w:rPr>
        <w:t>м</w:t>
      </w:r>
      <w:r>
        <w:rPr>
          <w:color w:val="222222"/>
          <w:lang w:val="sr-Latn-RS"/>
        </w:rPr>
        <w:t xml:space="preserve"> стандард</w:t>
      </w:r>
      <w:r>
        <w:rPr>
          <w:color w:val="222222"/>
          <w:lang w:val="sr-Cyrl-RS"/>
        </w:rPr>
        <w:t>има</w:t>
      </w:r>
      <w:r>
        <w:rPr>
          <w:color w:val="222222"/>
          <w:lang w:val="sr-Latn-RS"/>
        </w:rPr>
        <w:t xml:space="preserve"> за угрожене групе и мало</w:t>
      </w:r>
      <w:r>
        <w:rPr>
          <w:color w:val="222222"/>
          <w:lang w:val="sr-Cyrl-RS"/>
        </w:rPr>
        <w:t xml:space="preserve">летна лица </w:t>
      </w:r>
      <w:r>
        <w:rPr>
          <w:color w:val="222222"/>
          <w:lang w:val="sr-Latn-RS"/>
        </w:rPr>
        <w:t>с</w:t>
      </w:r>
      <w:r>
        <w:rPr>
          <w:color w:val="222222"/>
          <w:lang w:val="sr-Cyrl-RS"/>
        </w:rPr>
        <w:t>а/</w:t>
      </w:r>
      <w:r>
        <w:rPr>
          <w:color w:val="222222"/>
          <w:lang w:val="sr-Latn-RS"/>
        </w:rPr>
        <w:t xml:space="preserve">без пратње, а такође су укључени </w:t>
      </w:r>
      <w:r w:rsidR="004F2A17"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механизми за спречавање злоупотребе система међународне заштите. </w:t>
      </w:r>
    </w:p>
    <w:p w:rsidR="005A62A4" w:rsidRDefault="00A144BD" w:rsidP="00A144BD">
      <w:pPr>
        <w:pStyle w:val="Heading1"/>
        <w:rPr>
          <w:lang w:val="sr-Cyrl-RS"/>
        </w:rPr>
      </w:pPr>
      <w:bookmarkStart w:id="9" w:name="_Toc468797347"/>
      <w:r>
        <w:rPr>
          <w:lang w:val="sr-Cyrl-RS"/>
        </w:rPr>
        <w:t>Закључак</w:t>
      </w:r>
      <w:bookmarkEnd w:id="9"/>
    </w:p>
    <w:p w:rsidR="00A144BD" w:rsidRPr="00A144BD" w:rsidRDefault="00A144BD" w:rsidP="00A144BD">
      <w:pPr>
        <w:pStyle w:val="NoSpacing"/>
        <w:rPr>
          <w:lang w:val="sr-Cyrl-RS"/>
        </w:rPr>
      </w:pPr>
    </w:p>
    <w:p w:rsidR="006C774A" w:rsidRPr="006C774A" w:rsidRDefault="005A62A4" w:rsidP="006C774A">
      <w:pPr>
        <w:spacing w:after="0" w:line="360" w:lineRule="auto"/>
        <w:jc w:val="both"/>
        <w:rPr>
          <w:rFonts w:eastAsia="Times New Roman"/>
          <w:lang w:val="sr-Cyrl-RS"/>
        </w:rPr>
      </w:pPr>
      <w:r w:rsidRPr="006C774A">
        <w:rPr>
          <w:color w:val="222222"/>
          <w:lang w:val="sr-Cyrl-RS"/>
        </w:rPr>
        <w:t xml:space="preserve">Према проценама Европске комисије данас је расељено више од 65 милиона људи, </w:t>
      </w:r>
      <w:r w:rsidR="00B05062" w:rsidRPr="006C774A">
        <w:rPr>
          <w:color w:val="222222"/>
          <w:lang w:val="sr-Cyrl-RS"/>
        </w:rPr>
        <w:t xml:space="preserve">као последица </w:t>
      </w:r>
      <w:r w:rsidRPr="006C774A">
        <w:rPr>
          <w:color w:val="222222"/>
          <w:lang w:val="sr-Cyrl-RS"/>
        </w:rPr>
        <w:t xml:space="preserve">насиља или природних катастрофа. </w:t>
      </w:r>
      <w:r w:rsidR="00FC2E7B">
        <w:rPr>
          <w:color w:val="222222"/>
          <w:lang w:val="sr-Latn-RS"/>
        </w:rPr>
        <w:t xml:space="preserve">До краја 2015. године, ЕУ као целина добила </w:t>
      </w:r>
      <w:r w:rsidR="00FC2E7B">
        <w:rPr>
          <w:color w:val="222222"/>
          <w:lang w:val="sr-Cyrl-RS"/>
        </w:rPr>
        <w:t xml:space="preserve">је </w:t>
      </w:r>
      <w:r w:rsidR="00FC2E7B">
        <w:rPr>
          <w:color w:val="222222"/>
          <w:lang w:val="sr-Latn-RS"/>
        </w:rPr>
        <w:t>преко 1,2 милиона захтева за азил</w:t>
      </w:r>
      <w:r w:rsidR="00FC2E7B" w:rsidRPr="0073219A">
        <w:rPr>
          <w:color w:val="222222"/>
          <w:lang w:val="sr-Latn-RS"/>
        </w:rPr>
        <w:t xml:space="preserve"> </w:t>
      </w:r>
      <w:r w:rsidR="00FC2E7B">
        <w:rPr>
          <w:color w:val="222222"/>
          <w:lang w:val="sr-Latn-RS"/>
        </w:rPr>
        <w:t xml:space="preserve">први пут, више него двоструко </w:t>
      </w:r>
      <w:r w:rsidR="00FC2E7B">
        <w:rPr>
          <w:color w:val="222222"/>
          <w:lang w:val="sr-Cyrl-RS"/>
        </w:rPr>
        <w:t>у односу на</w:t>
      </w:r>
      <w:r w:rsidR="00FC2E7B">
        <w:rPr>
          <w:color w:val="222222"/>
          <w:lang w:val="sr-Latn-RS"/>
        </w:rPr>
        <w:t xml:space="preserve"> регистрован </w:t>
      </w:r>
      <w:r w:rsidR="00FC2E7B">
        <w:rPr>
          <w:color w:val="222222"/>
          <w:lang w:val="sr-Cyrl-RS"/>
        </w:rPr>
        <w:t xml:space="preserve">број </w:t>
      </w:r>
      <w:r w:rsidR="00FC2E7B">
        <w:rPr>
          <w:color w:val="222222"/>
          <w:lang w:val="sr-Latn-RS"/>
        </w:rPr>
        <w:t xml:space="preserve">у 2014. години (563.000), а скоро дупло </w:t>
      </w:r>
      <w:r w:rsidR="00FC2E7B">
        <w:rPr>
          <w:color w:val="222222"/>
          <w:lang w:val="sr-Cyrl-RS"/>
        </w:rPr>
        <w:t>у односу на</w:t>
      </w:r>
      <w:r w:rsidR="00FC2E7B">
        <w:rPr>
          <w:color w:val="222222"/>
          <w:lang w:val="sr-Latn-RS"/>
        </w:rPr>
        <w:t xml:space="preserve"> 1992. годин</w:t>
      </w:r>
      <w:r w:rsidR="00FC2E7B">
        <w:rPr>
          <w:color w:val="222222"/>
          <w:lang w:val="sr-Cyrl-RS"/>
        </w:rPr>
        <w:t>у</w:t>
      </w:r>
      <w:r w:rsidR="00FC2E7B">
        <w:rPr>
          <w:color w:val="222222"/>
          <w:lang w:val="sr-Latn-RS"/>
        </w:rPr>
        <w:t xml:space="preserve"> </w:t>
      </w:r>
      <w:r w:rsidR="00FC2E7B">
        <w:rPr>
          <w:color w:val="222222"/>
          <w:lang w:val="sr-Cyrl-RS"/>
        </w:rPr>
        <w:t xml:space="preserve">када је број захтева </w:t>
      </w:r>
      <w:r w:rsidR="00FC2E7B">
        <w:rPr>
          <w:color w:val="222222"/>
          <w:lang w:val="sr-Latn-RS"/>
        </w:rPr>
        <w:t xml:space="preserve">у тада 15 држава чланица </w:t>
      </w:r>
      <w:r w:rsidR="00FC2E7B">
        <w:rPr>
          <w:color w:val="222222"/>
          <w:lang w:val="sr-Cyrl-RS"/>
        </w:rPr>
        <w:t xml:space="preserve">био </w:t>
      </w:r>
      <w:r w:rsidR="009917A2">
        <w:rPr>
          <w:color w:val="222222"/>
          <w:lang w:val="sr-Latn-RS"/>
        </w:rPr>
        <w:t>672</w:t>
      </w:r>
      <w:r w:rsidR="009917A2">
        <w:rPr>
          <w:color w:val="222222"/>
          <w:lang w:val="sr-Cyrl-RS"/>
        </w:rPr>
        <w:t>.</w:t>
      </w:r>
      <w:r w:rsidR="00E35409">
        <w:rPr>
          <w:color w:val="222222"/>
          <w:lang w:val="sr-Latn-RS"/>
        </w:rPr>
        <w:t>000</w:t>
      </w:r>
      <w:r w:rsidR="00FC2E7B">
        <w:rPr>
          <w:color w:val="222222"/>
          <w:lang w:val="sr-Latn-RS"/>
        </w:rPr>
        <w:t>.</w:t>
      </w:r>
      <w:r w:rsidR="00FC2E7B">
        <w:rPr>
          <w:rStyle w:val="FootnoteReference"/>
          <w:color w:val="222222"/>
          <w:lang w:val="sr-Latn-RS"/>
        </w:rPr>
        <w:footnoteReference w:id="26"/>
      </w:r>
      <w:r w:rsidR="00FC2E7B">
        <w:rPr>
          <w:color w:val="222222"/>
          <w:lang w:val="sr-Cyrl-RS"/>
        </w:rPr>
        <w:t xml:space="preserve"> </w:t>
      </w:r>
      <w:r w:rsidRPr="006C774A">
        <w:rPr>
          <w:color w:val="222222"/>
          <w:lang w:val="sr-Cyrl-RS"/>
        </w:rPr>
        <w:t>Ове године, тренд је значајно смањен (У Европи у првој половини ове године око 200.000 људи). Европска комисија је у складу са овим догађајима реаговала израдом Плана Европске миграције</w:t>
      </w:r>
      <w:r w:rsidRPr="006C774A">
        <w:rPr>
          <w:rStyle w:val="FootnoteReference"/>
          <w:color w:val="222222"/>
          <w:lang w:val="sr-Cyrl-RS"/>
        </w:rPr>
        <w:footnoteReference w:id="27"/>
      </w:r>
      <w:r w:rsidRPr="006C774A">
        <w:rPr>
          <w:sz w:val="28"/>
          <w:szCs w:val="28"/>
          <w:lang w:val="sr-Cyrl-RS"/>
        </w:rPr>
        <w:t xml:space="preserve"> </w:t>
      </w:r>
      <w:r w:rsidRPr="006C774A">
        <w:rPr>
          <w:color w:val="222222"/>
          <w:lang w:val="sr-Cyrl-RS"/>
        </w:rPr>
        <w:t>представљајући мере и инструменте акције на нивоу ЕУ и на нивоу појединачних држава чланица</w:t>
      </w:r>
      <w:r w:rsidR="00D70410">
        <w:rPr>
          <w:color w:val="222222"/>
          <w:lang w:val="sr-Cyrl-RS"/>
        </w:rPr>
        <w:t xml:space="preserve">. </w:t>
      </w:r>
      <w:r w:rsidRPr="006C774A">
        <w:rPr>
          <w:color w:val="222222"/>
          <w:lang w:val="sr-Cyrl-RS"/>
        </w:rPr>
        <w:t xml:space="preserve">Највећи број избеглица до 2015. </w:t>
      </w:r>
      <w:r w:rsidR="00D70410">
        <w:rPr>
          <w:color w:val="222222"/>
          <w:lang w:val="sr-Cyrl-RS"/>
        </w:rPr>
        <w:t xml:space="preserve">године </w:t>
      </w:r>
      <w:r w:rsidRPr="006C774A">
        <w:rPr>
          <w:color w:val="222222"/>
          <w:lang w:val="sr-Cyrl-RS"/>
        </w:rPr>
        <w:t xml:space="preserve">долазио је из Сирије, а тренд се наставио и ове године. </w:t>
      </w:r>
      <w:r w:rsidR="006C774A" w:rsidRPr="006C774A">
        <w:rPr>
          <w:rFonts w:eastAsia="Times New Roman"/>
          <w:lang w:val="sr-Cyrl-RS"/>
        </w:rPr>
        <w:t>Број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особа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које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затражиле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азил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lastRenderedPageBreak/>
        <w:t>земљама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Европске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уније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2014. </w:t>
      </w:r>
      <w:r w:rsidR="006C774A" w:rsidRPr="006C774A">
        <w:rPr>
          <w:rFonts w:eastAsia="Times New Roman"/>
          <w:lang w:val="sr-Cyrl-RS"/>
        </w:rPr>
        <w:t>години</w:t>
      </w:r>
      <w:r w:rsidR="006C774A" w:rsidRPr="00762A78">
        <w:rPr>
          <w:rFonts w:eastAsia="Times New Roman"/>
          <w:lang w:val="sr-Cyrl-RS"/>
        </w:rPr>
        <w:t xml:space="preserve">, </w:t>
      </w:r>
      <w:r w:rsidR="006C774A" w:rsidRPr="006C774A">
        <w:rPr>
          <w:rFonts w:eastAsia="Times New Roman"/>
          <w:lang w:val="sr-Cyrl-RS"/>
        </w:rPr>
        <w:t>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пореклом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из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Сирије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прешао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је</w:t>
      </w:r>
      <w:r w:rsidR="006C774A" w:rsidRPr="00762A78">
        <w:rPr>
          <w:rFonts w:eastAsia="Times New Roman"/>
          <w:lang w:val="sr-Cyrl-RS"/>
        </w:rPr>
        <w:t xml:space="preserve"> </w:t>
      </w:r>
      <w:r w:rsidR="004F2A17">
        <w:rPr>
          <w:rFonts w:eastAsia="Times New Roman"/>
          <w:lang w:val="sr-Cyrl-RS"/>
        </w:rPr>
        <w:t>122.000</w:t>
      </w:r>
      <w:r w:rsidR="006C774A" w:rsidRPr="006C774A">
        <w:rPr>
          <w:rFonts w:eastAsia="Times New Roman"/>
          <w:lang w:val="sr-Cyrl-RS"/>
        </w:rPr>
        <w:t xml:space="preserve"> што </w:t>
      </w:r>
      <w:r w:rsidR="00634948">
        <w:rPr>
          <w:rFonts w:eastAsia="Times New Roman"/>
          <w:lang w:val="sr-Cyrl-RS"/>
        </w:rPr>
        <w:t>је било</w:t>
      </w:r>
      <w:r w:rsidR="006C774A" w:rsidRPr="006C774A">
        <w:rPr>
          <w:rFonts w:eastAsia="Times New Roman"/>
          <w:lang w:val="sr-Cyrl-RS"/>
        </w:rPr>
        <w:t xml:space="preserve"> 20%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од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укупног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броја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азиланата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из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земаља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које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нису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чланице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Европске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уније</w:t>
      </w:r>
      <w:r w:rsidR="006C774A" w:rsidRPr="00762A78">
        <w:rPr>
          <w:rFonts w:eastAsia="Times New Roman"/>
          <w:lang w:val="sr-Cyrl-RS"/>
        </w:rPr>
        <w:t xml:space="preserve">. </w:t>
      </w:r>
      <w:r w:rsidR="006C774A" w:rsidRPr="006C774A">
        <w:rPr>
          <w:rFonts w:eastAsia="Times New Roman"/>
          <w:lang w:val="sr-Cyrl-RS"/>
        </w:rPr>
        <w:t>Сиријци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су</w:t>
      </w:r>
      <w:r w:rsidR="006C774A" w:rsidRPr="00762A78">
        <w:rPr>
          <w:rFonts w:eastAsia="Times New Roman"/>
          <w:lang w:val="sr-Cyrl-RS"/>
        </w:rPr>
        <w:t xml:space="preserve"> 2014. </w:t>
      </w:r>
      <w:r w:rsidR="006C774A" w:rsidRPr="006C774A">
        <w:rPr>
          <w:rFonts w:eastAsia="Times New Roman"/>
          <w:lang w:val="sr-Cyrl-RS"/>
        </w:rPr>
        <w:t>године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чинили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највећи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број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тражилаца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азила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11 </w:t>
      </w:r>
      <w:r w:rsidR="006C774A" w:rsidRPr="006C774A">
        <w:rPr>
          <w:rFonts w:eastAsia="Times New Roman"/>
          <w:lang w:val="sr-Cyrl-RS"/>
        </w:rPr>
        <w:t>од</w:t>
      </w:r>
      <w:r w:rsidR="006C774A" w:rsidRPr="00762A78">
        <w:rPr>
          <w:rFonts w:eastAsia="Times New Roman"/>
          <w:lang w:val="sr-Cyrl-RS"/>
        </w:rPr>
        <w:t xml:space="preserve"> 28 </w:t>
      </w:r>
      <w:r w:rsidR="006C774A" w:rsidRPr="006C774A">
        <w:rPr>
          <w:rFonts w:eastAsia="Times New Roman"/>
          <w:lang w:val="sr-Cyrl-RS"/>
        </w:rPr>
        <w:t>земаља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чланица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Европске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уније</w:t>
      </w:r>
      <w:r w:rsidR="006C774A" w:rsidRPr="00762A78">
        <w:rPr>
          <w:rFonts w:eastAsia="Times New Roman"/>
          <w:lang w:val="sr-Cyrl-RS"/>
        </w:rPr>
        <w:t xml:space="preserve">.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Немачкој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односу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на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остале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земље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Европске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уније</w:t>
      </w:r>
      <w:r w:rsidR="006C774A" w:rsidRPr="00762A78">
        <w:rPr>
          <w:rFonts w:eastAsia="Times New Roman"/>
          <w:lang w:val="sr-Cyrl-RS"/>
        </w:rPr>
        <w:t xml:space="preserve">,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2014. </w:t>
      </w:r>
      <w:r w:rsidR="006C774A" w:rsidRPr="006C774A">
        <w:rPr>
          <w:rFonts w:eastAsia="Times New Roman"/>
          <w:lang w:val="sr-Cyrl-RS"/>
        </w:rPr>
        <w:t>години</w:t>
      </w:r>
      <w:r w:rsidR="006C774A" w:rsidRPr="00762A78">
        <w:rPr>
          <w:rFonts w:eastAsia="Times New Roman"/>
          <w:lang w:val="sr-Cyrl-RS"/>
        </w:rPr>
        <w:t xml:space="preserve">, </w:t>
      </w:r>
      <w:r w:rsidR="006C774A" w:rsidRPr="006C774A">
        <w:rPr>
          <w:rFonts w:eastAsia="Times New Roman"/>
          <w:lang w:val="sr-Cyrl-RS"/>
        </w:rPr>
        <w:t>забележен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највећи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број тражилаца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 xml:space="preserve"> азила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из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Сирије</w:t>
      </w:r>
      <w:r w:rsidR="0063494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-</w:t>
      </w:r>
      <w:r w:rsidR="006C774A" w:rsidRPr="00762A78">
        <w:rPr>
          <w:rFonts w:eastAsia="Times New Roman"/>
          <w:lang w:val="sr-Cyrl-RS"/>
        </w:rPr>
        <w:t xml:space="preserve"> 41.000 </w:t>
      </w:r>
      <w:r w:rsidR="004F2A17">
        <w:rPr>
          <w:rFonts w:eastAsia="Times New Roman"/>
          <w:lang w:val="sr-Cyrl-RS"/>
        </w:rPr>
        <w:t>захтев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азил</w:t>
      </w:r>
      <w:r w:rsidR="006C774A" w:rsidRPr="00762A78">
        <w:rPr>
          <w:rFonts w:eastAsia="Times New Roman"/>
          <w:lang w:val="sr-Cyrl-RS"/>
        </w:rPr>
        <w:t>.</w:t>
      </w:r>
      <w:r w:rsidR="00E24339">
        <w:rPr>
          <w:color w:val="222222"/>
          <w:lang w:val="sr-Latn-RS"/>
        </w:rPr>
        <w:t xml:space="preserve"> </w:t>
      </w:r>
      <w:r w:rsidR="006C774A" w:rsidRPr="006C774A">
        <w:rPr>
          <w:rFonts w:eastAsia="Times New Roman"/>
          <w:lang w:val="sr-Cyrl-RS"/>
        </w:rPr>
        <w:t>Друга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земља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по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броју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захтева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за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азил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је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била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Шведска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са</w:t>
      </w:r>
      <w:r w:rsidR="006C774A" w:rsidRPr="00762A78">
        <w:rPr>
          <w:rFonts w:eastAsia="Times New Roman"/>
          <w:lang w:val="sr-Cyrl-RS"/>
        </w:rPr>
        <w:t xml:space="preserve"> 31.000 </w:t>
      </w:r>
      <w:r w:rsidR="004F2A17">
        <w:rPr>
          <w:rFonts w:eastAsia="Times New Roman"/>
          <w:lang w:val="sr-Cyrl-RS"/>
        </w:rPr>
        <w:t>захтева с</w:t>
      </w:r>
      <w:r w:rsidR="006C774A" w:rsidRPr="006C774A">
        <w:rPr>
          <w:rFonts w:eastAsia="Times New Roman"/>
          <w:lang w:val="sr-Cyrl-RS"/>
        </w:rPr>
        <w:t>иријских</w:t>
      </w:r>
      <w:r w:rsidR="006C774A" w:rsidRPr="00762A78">
        <w:rPr>
          <w:rFonts w:eastAsia="Times New Roman"/>
          <w:lang w:val="sr-Cyrl-RS"/>
        </w:rPr>
        <w:t xml:space="preserve"> </w:t>
      </w:r>
      <w:r w:rsidR="00634948">
        <w:rPr>
          <w:rFonts w:eastAsia="Times New Roman"/>
          <w:lang w:val="sr-Cyrl-RS"/>
        </w:rPr>
        <w:t>држављана</w:t>
      </w:r>
      <w:r w:rsidR="006C774A" w:rsidRPr="006C774A">
        <w:rPr>
          <w:rStyle w:val="FootnoteReference"/>
          <w:rFonts w:eastAsia="Times New Roman"/>
          <w:lang w:val="sr-Cyrl-RS"/>
        </w:rPr>
        <w:footnoteReference w:id="28"/>
      </w:r>
      <w:r w:rsidR="006C774A" w:rsidRPr="006C774A">
        <w:rPr>
          <w:rFonts w:eastAsia="Times New Roman"/>
          <w:lang w:val="sr-Cyrl-RS"/>
        </w:rPr>
        <w:t xml:space="preserve"> Према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подацима</w:t>
      </w:r>
      <w:r w:rsidR="006C774A" w:rsidRPr="00762A78">
        <w:rPr>
          <w:rFonts w:eastAsia="Times New Roman"/>
          <w:lang w:val="sr-Cyrl-RS"/>
        </w:rPr>
        <w:t xml:space="preserve"> </w:t>
      </w:r>
      <w:r w:rsidR="004F2A17">
        <w:rPr>
          <w:rFonts w:eastAsia="Times New Roman"/>
        </w:rPr>
        <w:t>FRONTEX</w:t>
      </w:r>
      <w:r w:rsidR="006C774A" w:rsidRPr="00762A78">
        <w:rPr>
          <w:rFonts w:eastAsia="Times New Roman"/>
          <w:lang w:val="sr-Cyrl-RS"/>
        </w:rPr>
        <w:t xml:space="preserve"> </w:t>
      </w:r>
      <w:r w:rsidR="006C774A">
        <w:rPr>
          <w:rFonts w:eastAsia="Times New Roman"/>
          <w:lang w:val="sr-Cyrl-RS"/>
        </w:rPr>
        <w:t xml:space="preserve">(новембар 2015) </w:t>
      </w:r>
      <w:r w:rsidR="006C774A" w:rsidRPr="006C774A">
        <w:rPr>
          <w:rFonts w:eastAsia="Times New Roman"/>
          <w:lang w:val="sr-Cyrl-RS"/>
        </w:rPr>
        <w:t>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Грчку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је 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периоду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од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јануара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до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октобра</w:t>
      </w:r>
      <w:r w:rsidR="006C774A" w:rsidRPr="00762A78">
        <w:rPr>
          <w:rFonts w:eastAsia="Times New Roman"/>
          <w:lang w:val="sr-Cyrl-RS"/>
        </w:rPr>
        <w:t xml:space="preserve"> 2015. </w:t>
      </w:r>
      <w:r w:rsidR="006C774A" w:rsidRPr="006C774A">
        <w:rPr>
          <w:rFonts w:eastAsia="Times New Roman"/>
          <w:lang w:val="sr-Cyrl-RS"/>
        </w:rPr>
        <w:t>године ушло</w:t>
      </w:r>
      <w:r w:rsidR="006C774A" w:rsidRPr="00762A78">
        <w:rPr>
          <w:rFonts w:eastAsia="Times New Roman"/>
          <w:lang w:val="sr-Cyrl-RS"/>
        </w:rPr>
        <w:t xml:space="preserve"> 368.959 </w:t>
      </w:r>
      <w:r w:rsidR="006C774A" w:rsidRPr="006C774A">
        <w:rPr>
          <w:rFonts w:eastAsia="Times New Roman"/>
          <w:lang w:val="sr-Cyrl-RS"/>
        </w:rPr>
        <w:t>миграната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из</w:t>
      </w:r>
      <w:r w:rsidR="006C774A" w:rsidRPr="00762A78">
        <w:rPr>
          <w:rFonts w:eastAsia="Times New Roman"/>
          <w:lang w:val="sr-Cyrl-RS"/>
        </w:rPr>
        <w:t xml:space="preserve"> </w:t>
      </w:r>
      <w:r w:rsidR="006C774A" w:rsidRPr="006C774A">
        <w:rPr>
          <w:rFonts w:eastAsia="Times New Roman"/>
          <w:lang w:val="sr-Cyrl-RS"/>
        </w:rPr>
        <w:t>Сирије</w:t>
      </w:r>
      <w:r w:rsidR="006C774A" w:rsidRPr="00762A78">
        <w:rPr>
          <w:rFonts w:eastAsia="Times New Roman"/>
          <w:lang w:val="sr-Cyrl-RS"/>
        </w:rPr>
        <w:t>.</w:t>
      </w:r>
      <w:r w:rsidR="006C774A" w:rsidRPr="006C774A">
        <w:rPr>
          <w:rStyle w:val="FootnoteReference"/>
          <w:rFonts w:eastAsia="Times New Roman"/>
          <w:lang w:val="sr-Cyrl-RS"/>
        </w:rPr>
        <w:footnoteReference w:id="29"/>
      </w:r>
    </w:p>
    <w:p w:rsidR="004F2A17" w:rsidRDefault="004F2A17" w:rsidP="00E24339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E24339" w:rsidRPr="00E24339" w:rsidRDefault="00E24339" w:rsidP="00E24339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color w:val="222222"/>
          <w:lang w:val="sr-Cyrl-RS"/>
        </w:rPr>
        <w:t xml:space="preserve">Такође, у </w:t>
      </w:r>
      <w:r>
        <w:rPr>
          <w:color w:val="222222"/>
          <w:lang w:val="sr-Latn-RS"/>
        </w:rPr>
        <w:t>2015. години</w:t>
      </w:r>
      <w:r>
        <w:rPr>
          <w:color w:val="222222"/>
          <w:lang w:val="sr-Cyrl-RS"/>
        </w:rPr>
        <w:t xml:space="preserve"> Н</w:t>
      </w:r>
      <w:r>
        <w:rPr>
          <w:color w:val="222222"/>
          <w:lang w:val="sr-Latn-RS"/>
        </w:rPr>
        <w:t>емачка је постала највећи појединачни прималац</w:t>
      </w:r>
      <w:r>
        <w:rPr>
          <w:color w:val="222222"/>
          <w:lang w:val="sr-Cyrl-RS"/>
        </w:rPr>
        <w:t xml:space="preserve"> на </w:t>
      </w:r>
      <w:r>
        <w:rPr>
          <w:color w:val="222222"/>
          <w:lang w:val="sr-Latn-RS"/>
        </w:rPr>
        <w:t>глобално</w:t>
      </w:r>
      <w:r>
        <w:rPr>
          <w:color w:val="222222"/>
          <w:lang w:val="sr-Cyrl-RS"/>
        </w:rPr>
        <w:t>м нивоу</w:t>
      </w:r>
      <w:r>
        <w:rPr>
          <w:color w:val="222222"/>
          <w:lang w:val="sr-Latn-RS"/>
        </w:rPr>
        <w:t xml:space="preserve"> индивидуалн</w:t>
      </w:r>
      <w:r>
        <w:rPr>
          <w:color w:val="222222"/>
          <w:lang w:val="sr-Cyrl-RS"/>
        </w:rPr>
        <w:t xml:space="preserve">их </w:t>
      </w:r>
      <w:r>
        <w:rPr>
          <w:color w:val="222222"/>
          <w:lang w:val="sr-Latn-RS"/>
        </w:rPr>
        <w:t>захтева за азил</w:t>
      </w:r>
      <w:r>
        <w:rPr>
          <w:color w:val="222222"/>
          <w:lang w:val="sr-Cyrl-RS"/>
        </w:rPr>
        <w:t xml:space="preserve"> </w:t>
      </w:r>
      <w:r w:rsidR="004F2A17">
        <w:rPr>
          <w:color w:val="222222"/>
          <w:lang w:val="sr-Latn-RS"/>
        </w:rPr>
        <w:t>по први пут, са скоро 442</w:t>
      </w:r>
      <w:r w:rsidR="004F2A17">
        <w:rPr>
          <w:color w:val="222222"/>
          <w:lang w:val="sr-Cyrl-RS"/>
        </w:rPr>
        <w:t>.</w:t>
      </w:r>
      <w:r>
        <w:rPr>
          <w:color w:val="222222"/>
          <w:lang w:val="sr-Latn-RS"/>
        </w:rPr>
        <w:t>000</w:t>
      </w:r>
      <w:r>
        <w:rPr>
          <w:color w:val="222222"/>
          <w:lang w:val="sr-Cyrl-RS"/>
        </w:rPr>
        <w:t xml:space="preserve"> захтева</w:t>
      </w:r>
      <w:r w:rsidR="004F2A17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Скоро 1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>3 тражилаца азила први пут били су малолетници, што је повећање 11% у односу на 2014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 w:rsidR="00E1295C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1 </w:t>
      </w:r>
      <w:r>
        <w:rPr>
          <w:color w:val="222222"/>
          <w:lang w:val="sr-Cyrl-RS"/>
        </w:rPr>
        <w:t xml:space="preserve">од </w:t>
      </w:r>
      <w:r>
        <w:rPr>
          <w:color w:val="222222"/>
          <w:lang w:val="sr-Latn-RS"/>
        </w:rPr>
        <w:t xml:space="preserve">5 </w:t>
      </w:r>
      <w:r>
        <w:rPr>
          <w:color w:val="222222"/>
          <w:lang w:val="sr-Cyrl-RS"/>
        </w:rPr>
        <w:t>малолетника</w:t>
      </w:r>
      <w:r>
        <w:rPr>
          <w:color w:val="222222"/>
          <w:lang w:val="sr-Latn-RS"/>
        </w:rPr>
        <w:t xml:space="preserve"> </w:t>
      </w:r>
      <w:r w:rsidR="00E1295C">
        <w:rPr>
          <w:color w:val="222222"/>
          <w:lang w:val="sr-Cyrl-RS"/>
        </w:rPr>
        <w:t xml:space="preserve">био је </w:t>
      </w:r>
      <w:r>
        <w:rPr>
          <w:color w:val="222222"/>
          <w:lang w:val="sr-Latn-RS"/>
        </w:rPr>
        <w:t xml:space="preserve">без пратње </w:t>
      </w:r>
      <w:r>
        <w:rPr>
          <w:color w:val="222222"/>
          <w:lang w:val="sr-Cyrl-RS"/>
        </w:rPr>
        <w:t>одраслих</w:t>
      </w:r>
      <w:r>
        <w:rPr>
          <w:color w:val="222222"/>
          <w:lang w:val="sr-Latn-RS"/>
        </w:rPr>
        <w:t xml:space="preserve"> - највећи број од 2008. године и три пута више у </w:t>
      </w:r>
      <w:r>
        <w:rPr>
          <w:color w:val="222222"/>
          <w:lang w:val="sr-Cyrl-RS"/>
        </w:rPr>
        <w:t xml:space="preserve">односу на </w:t>
      </w:r>
      <w:r>
        <w:rPr>
          <w:color w:val="222222"/>
          <w:lang w:val="sr-Latn-RS"/>
        </w:rPr>
        <w:t>2014.</w:t>
      </w:r>
      <w:r>
        <w:rPr>
          <w:rStyle w:val="FootnoteReference"/>
          <w:color w:val="222222"/>
          <w:lang w:val="sr-Latn-RS"/>
        </w:rPr>
        <w:footnoteReference w:id="30"/>
      </w:r>
    </w:p>
    <w:p w:rsidR="006C774A" w:rsidRPr="00762A78" w:rsidRDefault="006C774A" w:rsidP="006C774A">
      <w:pPr>
        <w:spacing w:after="0" w:line="240" w:lineRule="auto"/>
        <w:jc w:val="both"/>
        <w:rPr>
          <w:rFonts w:eastAsia="Times New Roman"/>
          <w:lang w:val="sr-Cyrl-RS"/>
        </w:rPr>
      </w:pPr>
    </w:p>
    <w:p w:rsidR="00B05062" w:rsidRPr="00B05A23" w:rsidRDefault="005A62A4" w:rsidP="00B05062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rFonts w:eastAsia="Times New Roman"/>
          <w:lang w:val="sr-Cyrl-RS"/>
        </w:rPr>
        <w:t>У периоду јануар-април ове године забележен</w:t>
      </w:r>
      <w:r w:rsidR="00E1295C">
        <w:rPr>
          <w:rFonts w:eastAsia="Times New Roman"/>
          <w:lang w:val="sr-Cyrl-RS"/>
        </w:rPr>
        <w:t>о</w:t>
      </w:r>
      <w:r>
        <w:rPr>
          <w:rFonts w:eastAsia="Times New Roman"/>
          <w:lang w:val="sr-Cyrl-RS"/>
        </w:rPr>
        <w:t xml:space="preserve"> је </w:t>
      </w:r>
      <w:r w:rsidR="00E1295C">
        <w:rPr>
          <w:rFonts w:eastAsia="Times New Roman"/>
          <w:lang w:val="sr-Cyrl-RS"/>
        </w:rPr>
        <w:t>укупно</w:t>
      </w:r>
      <w:r w:rsidR="007E0DD7">
        <w:rPr>
          <w:rFonts w:eastAsia="Times New Roman"/>
          <w:lang w:val="sr-Cyrl-RS"/>
        </w:rPr>
        <w:t xml:space="preserve"> </w:t>
      </w:r>
      <w:r w:rsidR="00E1295C" w:rsidRPr="00E1295C">
        <w:rPr>
          <w:rFonts w:eastAsia="Times New Roman"/>
          <w:lang w:val="sr-Cyrl-RS"/>
        </w:rPr>
        <w:t xml:space="preserve">308.051 </w:t>
      </w:r>
      <w:r w:rsidR="00E1295C">
        <w:rPr>
          <w:rFonts w:eastAsia="Times New Roman"/>
          <w:lang w:val="sr-Cyrl-RS"/>
        </w:rPr>
        <w:t>илегални прелазак на нивоу медитеранских и б</w:t>
      </w:r>
      <w:r>
        <w:rPr>
          <w:rFonts w:eastAsia="Times New Roman"/>
          <w:lang w:val="sr-Cyrl-RS"/>
        </w:rPr>
        <w:t>алканске путање</w:t>
      </w:r>
      <w:r w:rsidR="007E0DD7">
        <w:rPr>
          <w:rFonts w:eastAsia="Times New Roman"/>
          <w:lang w:val="sr-Cyrl-RS"/>
        </w:rPr>
        <w:t>:</w:t>
      </w:r>
      <w:r w:rsidR="009917A2">
        <w:rPr>
          <w:rFonts w:eastAsia="Times New Roman"/>
          <w:lang w:val="sr-Cyrl-RS"/>
        </w:rPr>
        <w:t xml:space="preserve"> </w:t>
      </w:r>
      <w:r w:rsidR="00E1295C">
        <w:rPr>
          <w:rFonts w:eastAsia="Times New Roman"/>
          <w:lang w:val="sr-Cyrl-RS"/>
        </w:rPr>
        <w:t>од чега се на источно м</w:t>
      </w:r>
      <w:r>
        <w:rPr>
          <w:rFonts w:eastAsia="Times New Roman"/>
          <w:lang w:val="sr-Cyrl-RS"/>
        </w:rPr>
        <w:t>едитеранску путању одно</w:t>
      </w:r>
      <w:r w:rsidR="009917A2">
        <w:rPr>
          <w:rFonts w:eastAsia="Times New Roman"/>
          <w:lang w:val="sr-Cyrl-RS"/>
        </w:rPr>
        <w:t>си 157.019 (држављани Сирије 76.</w:t>
      </w:r>
      <w:r>
        <w:rPr>
          <w:rFonts w:eastAsia="Times New Roman"/>
          <w:lang w:val="sr-Cyrl-RS"/>
        </w:rPr>
        <w:t>741,  Авганистана преко 39 000 и Ирака више од 25 000)</w:t>
      </w:r>
      <w:r>
        <w:rPr>
          <w:rStyle w:val="FootnoteReference"/>
          <w:rFonts w:eastAsia="Times New Roman"/>
          <w:lang w:val="sr-Cyrl-RS"/>
        </w:rPr>
        <w:footnoteReference w:id="31"/>
      </w:r>
      <w:r w:rsidR="00020485">
        <w:rPr>
          <w:rFonts w:eastAsia="Times New Roman"/>
          <w:lang w:val="sr-Cyrl-RS"/>
        </w:rPr>
        <w:t xml:space="preserve">. У истраживању су дефинисане основне путање кретања миграната, на основу података </w:t>
      </w:r>
      <w:r w:rsidR="00020485">
        <w:rPr>
          <w:lang w:val="sr-Cyrl-RS"/>
        </w:rPr>
        <w:t>Европске</w:t>
      </w:r>
      <w:r w:rsidR="00020485" w:rsidRPr="005A62A4">
        <w:rPr>
          <w:lang w:val="sr-Cyrl-RS"/>
        </w:rPr>
        <w:t xml:space="preserve"> агенција за управљање о</w:t>
      </w:r>
      <w:r w:rsidR="00E1295C">
        <w:rPr>
          <w:lang w:val="sr-Cyrl-RS"/>
        </w:rPr>
        <w:t>перативном сарадњом на спољним границама држава чланица ЕУ</w:t>
      </w:r>
      <w:r w:rsidR="00020485" w:rsidRPr="005A62A4">
        <w:rPr>
          <w:lang w:val="sr-Cyrl-RS"/>
        </w:rPr>
        <w:t>,</w:t>
      </w:r>
      <w:r w:rsidR="00020485">
        <w:rPr>
          <w:lang w:val="sr-Cyrl-RS"/>
        </w:rPr>
        <w:t xml:space="preserve"> као и </w:t>
      </w:r>
      <w:r w:rsidR="00E1295C">
        <w:rPr>
          <w:lang w:val="sr-Cyrl-RS"/>
        </w:rPr>
        <w:t>подаци о броју тражила</w:t>
      </w:r>
      <w:r w:rsidR="00020485">
        <w:rPr>
          <w:lang w:val="sr-Cyrl-RS"/>
        </w:rPr>
        <w:t>ца азила у одређеним земљама ЕУ, 2014-2015.</w:t>
      </w:r>
      <w:r w:rsidR="0084462B">
        <w:rPr>
          <w:lang w:val="sr-Cyrl-RS"/>
        </w:rPr>
        <w:t xml:space="preserve"> </w:t>
      </w:r>
      <w:r w:rsidR="0084462B">
        <w:rPr>
          <w:color w:val="222222"/>
          <w:lang w:val="sr-Latn-RS"/>
        </w:rPr>
        <w:t xml:space="preserve">Број тражилаца азила </w:t>
      </w:r>
      <w:r w:rsidR="00E1295C">
        <w:rPr>
          <w:color w:val="222222"/>
          <w:lang w:val="sr-Latn-RS"/>
        </w:rPr>
        <w:t>у ЕУ-28 у 2015. био је 66</w:t>
      </w:r>
      <w:r w:rsidR="00E1295C">
        <w:rPr>
          <w:color w:val="222222"/>
          <w:lang w:val="sr-Cyrl-RS"/>
        </w:rPr>
        <w:t>.000</w:t>
      </w:r>
      <w:r w:rsidR="0084462B">
        <w:rPr>
          <w:color w:val="222222"/>
          <w:lang w:val="sr-Cyrl-RS"/>
        </w:rPr>
        <w:t xml:space="preserve"> или </w:t>
      </w:r>
      <w:r w:rsidR="0084462B">
        <w:rPr>
          <w:color w:val="222222"/>
          <w:lang w:val="sr-Latn-RS"/>
        </w:rPr>
        <w:t>око 5% мање у односу на у</w:t>
      </w:r>
      <w:r w:rsidR="00E1295C">
        <w:rPr>
          <w:color w:val="222222"/>
          <w:lang w:val="sr-Latn-RS"/>
        </w:rPr>
        <w:t xml:space="preserve">купан број пријављених </w:t>
      </w:r>
      <w:r w:rsidR="00E1295C">
        <w:rPr>
          <w:color w:val="222222"/>
          <w:lang w:val="sr-Cyrl-RS"/>
        </w:rPr>
        <w:t>апликаната</w:t>
      </w:r>
      <w:r w:rsidR="002859B9">
        <w:rPr>
          <w:color w:val="222222"/>
          <w:lang w:val="sr-Cyrl-RS"/>
        </w:rPr>
        <w:t>.</w:t>
      </w:r>
      <w:r w:rsidR="00B05A23">
        <w:rPr>
          <w:lang w:val="sr-Cyrl-RS"/>
        </w:rPr>
        <w:t xml:space="preserve"> </w:t>
      </w:r>
      <w:r w:rsidR="00F3361A">
        <w:rPr>
          <w:color w:val="222222"/>
          <w:lang w:val="sr-Cyrl-RS"/>
        </w:rPr>
        <w:t>Садашње законод</w:t>
      </w:r>
      <w:r w:rsidR="00E1295C">
        <w:rPr>
          <w:color w:val="222222"/>
          <w:lang w:val="sr-Cyrl-RS"/>
        </w:rPr>
        <w:t>авство ЕУ представља основ за регулисање</w:t>
      </w:r>
      <w:r w:rsidR="00595061">
        <w:rPr>
          <w:color w:val="222222"/>
          <w:lang w:val="sr-Cyrl-RS"/>
        </w:rPr>
        <w:t xml:space="preserve"> </w:t>
      </w:r>
      <w:r w:rsidR="00E1295C">
        <w:rPr>
          <w:color w:val="222222"/>
          <w:lang w:val="sr-Latn-RS"/>
        </w:rPr>
        <w:t>постојећ</w:t>
      </w:r>
      <w:r w:rsidR="00E1295C">
        <w:rPr>
          <w:color w:val="222222"/>
          <w:lang w:val="sr-Cyrl-RS"/>
        </w:rPr>
        <w:t>ег</w:t>
      </w:r>
      <w:r w:rsidR="00F3361A">
        <w:rPr>
          <w:color w:val="222222"/>
          <w:lang w:val="sr-Latn-RS"/>
        </w:rPr>
        <w:t xml:space="preserve"> ниво</w:t>
      </w:r>
      <w:r w:rsidR="00E1295C">
        <w:rPr>
          <w:color w:val="222222"/>
          <w:lang w:val="sr-Cyrl-RS"/>
        </w:rPr>
        <w:t>а</w:t>
      </w:r>
      <w:r w:rsidR="00F3361A">
        <w:rPr>
          <w:color w:val="222222"/>
          <w:lang w:val="sr-Latn-RS"/>
        </w:rPr>
        <w:t xml:space="preserve"> права </w:t>
      </w:r>
      <w:r w:rsidR="00F3361A">
        <w:rPr>
          <w:color w:val="222222"/>
          <w:lang w:val="sr-Cyrl-RS"/>
        </w:rPr>
        <w:t xml:space="preserve">на </w:t>
      </w:r>
      <w:r w:rsidR="00F3361A">
        <w:rPr>
          <w:color w:val="222222"/>
          <w:lang w:val="sr-Latn-RS"/>
        </w:rPr>
        <w:t>међународн</w:t>
      </w:r>
      <w:r w:rsidR="00F3361A">
        <w:rPr>
          <w:color w:val="222222"/>
          <w:lang w:val="sr-Cyrl-RS"/>
        </w:rPr>
        <w:t>у</w:t>
      </w:r>
      <w:r w:rsidR="00F3361A">
        <w:rPr>
          <w:color w:val="222222"/>
          <w:lang w:val="sr-Latn-RS"/>
        </w:rPr>
        <w:t xml:space="preserve"> заштит</w:t>
      </w:r>
      <w:r w:rsidR="00F3361A">
        <w:rPr>
          <w:color w:val="222222"/>
          <w:lang w:val="sr-Cyrl-RS"/>
        </w:rPr>
        <w:t>у</w:t>
      </w:r>
      <w:r w:rsidR="00F3361A">
        <w:rPr>
          <w:color w:val="222222"/>
          <w:lang w:val="sr-Latn-RS"/>
        </w:rPr>
        <w:t xml:space="preserve"> у већини </w:t>
      </w:r>
      <w:r w:rsidR="00F3361A">
        <w:rPr>
          <w:color w:val="222222"/>
          <w:lang w:val="sr-Cyrl-RS"/>
        </w:rPr>
        <w:t>земаља ЕУ</w:t>
      </w:r>
      <w:r w:rsidR="00595061">
        <w:rPr>
          <w:color w:val="222222"/>
          <w:lang w:val="sr-Cyrl-RS"/>
        </w:rPr>
        <w:t>.</w:t>
      </w:r>
      <w:r w:rsidR="007963F5">
        <w:rPr>
          <w:color w:val="222222"/>
          <w:lang w:val="sr-Cyrl-RS"/>
        </w:rPr>
        <w:t xml:space="preserve"> </w:t>
      </w:r>
      <w:r w:rsidR="00595061">
        <w:rPr>
          <w:color w:val="222222"/>
          <w:lang w:val="sr-Cyrl-RS"/>
        </w:rPr>
        <w:t>Такође,</w:t>
      </w:r>
      <w:r w:rsidR="00F3361A">
        <w:rPr>
          <w:color w:val="222222"/>
          <w:lang w:val="sr-Cyrl-RS"/>
        </w:rPr>
        <w:t xml:space="preserve"> </w:t>
      </w:r>
      <w:r w:rsidR="00E1295C">
        <w:rPr>
          <w:color w:val="222222"/>
          <w:lang w:val="sr-Cyrl-RS"/>
        </w:rPr>
        <w:t xml:space="preserve">оно </w:t>
      </w:r>
      <w:r w:rsidR="00F3361A">
        <w:rPr>
          <w:color w:val="222222"/>
          <w:lang w:val="sr-Latn-RS"/>
        </w:rPr>
        <w:t>представља само минималне стандарде које државе чланице ЕУ морају узети у обзир</w:t>
      </w:r>
      <w:r w:rsidR="00E1295C">
        <w:rPr>
          <w:color w:val="222222"/>
          <w:lang w:val="sr-Cyrl-RS"/>
        </w:rPr>
        <w:t>.</w:t>
      </w:r>
      <w:r w:rsidR="00F3361A">
        <w:rPr>
          <w:color w:val="222222"/>
          <w:lang w:val="sr-Cyrl-RS"/>
        </w:rPr>
        <w:t xml:space="preserve"> </w:t>
      </w:r>
      <w:r w:rsidR="00E1295C">
        <w:rPr>
          <w:color w:val="222222"/>
          <w:lang w:val="sr-Cyrl-RS"/>
        </w:rPr>
        <w:t>У</w:t>
      </w:r>
      <w:r w:rsidR="00F3361A">
        <w:rPr>
          <w:color w:val="222222"/>
          <w:lang w:val="sr-Latn-RS"/>
        </w:rPr>
        <w:t xml:space="preserve"> складу са европским</w:t>
      </w:r>
      <w:r w:rsidR="00F3361A">
        <w:rPr>
          <w:color w:val="222222"/>
          <w:lang w:val="sr-Cyrl-RS"/>
        </w:rPr>
        <w:t xml:space="preserve"> </w:t>
      </w:r>
      <w:r w:rsidR="00F3361A">
        <w:rPr>
          <w:color w:val="222222"/>
          <w:lang w:val="sr-Latn-RS"/>
        </w:rPr>
        <w:t>тековин</w:t>
      </w:r>
      <w:r w:rsidR="00F3361A">
        <w:rPr>
          <w:color w:val="222222"/>
          <w:lang w:val="sr-Cyrl-RS"/>
        </w:rPr>
        <w:t>ама у политици азила, н</w:t>
      </w:r>
      <w:r w:rsidR="00F3361A">
        <w:rPr>
          <w:color w:val="222222"/>
          <w:lang w:val="sr-Latn-RS"/>
        </w:rPr>
        <w:t>ека права су такође ограничена</w:t>
      </w:r>
      <w:r w:rsidR="00F3361A">
        <w:rPr>
          <w:color w:val="222222"/>
          <w:lang w:val="sr-Cyrl-RS"/>
        </w:rPr>
        <w:t>.</w:t>
      </w:r>
      <w:r w:rsidR="00B05062">
        <w:rPr>
          <w:color w:val="222222"/>
          <w:lang w:val="sr-Cyrl-RS"/>
        </w:rPr>
        <w:t xml:space="preserve"> </w:t>
      </w:r>
    </w:p>
    <w:p w:rsidR="005A62A4" w:rsidRPr="00F3361A" w:rsidRDefault="005A62A4" w:rsidP="00F3361A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7526DC" w:rsidRPr="009917A2" w:rsidRDefault="00020485" w:rsidP="009917A2">
      <w:pPr>
        <w:spacing w:after="0" w:line="360" w:lineRule="auto"/>
        <w:jc w:val="both"/>
        <w:rPr>
          <w:rFonts w:eastAsia="Times New Roman"/>
          <w:lang w:val="sr-Cyrl-RS"/>
        </w:rPr>
      </w:pPr>
      <w:r w:rsidRPr="00E516B1">
        <w:rPr>
          <w:lang w:val="sr-Cyrl-RS"/>
        </w:rPr>
        <w:t>Са почетком реформских промена, као и са процесом</w:t>
      </w:r>
      <w:r>
        <w:rPr>
          <w:lang w:val="sr-Cyrl-RS"/>
        </w:rPr>
        <w:t xml:space="preserve"> прис</w:t>
      </w:r>
      <w:r w:rsidR="00E1295C">
        <w:rPr>
          <w:lang w:val="sr-Cyrl-RS"/>
        </w:rPr>
        <w:t>т</w:t>
      </w:r>
      <w:r>
        <w:rPr>
          <w:lang w:val="sr-Cyrl-RS"/>
        </w:rPr>
        <w:t xml:space="preserve">упања </w:t>
      </w:r>
      <w:r w:rsidRPr="00E516B1">
        <w:rPr>
          <w:lang w:val="sr-Cyrl-RS"/>
        </w:rPr>
        <w:t xml:space="preserve"> ЕУ, у Србији се интензивно радило на стварању законског оквира за</w:t>
      </w:r>
      <w:r>
        <w:rPr>
          <w:lang w:val="sr-Cyrl-RS"/>
        </w:rPr>
        <w:t xml:space="preserve"> </w:t>
      </w:r>
      <w:r w:rsidR="00E1295C">
        <w:rPr>
          <w:lang w:val="sr-Cyrl-RS"/>
        </w:rPr>
        <w:t>управљење миграцијама и његовим усклађивањем</w:t>
      </w:r>
      <w:r w:rsidRPr="00E516B1">
        <w:rPr>
          <w:lang w:val="sr-Cyrl-RS"/>
        </w:rPr>
        <w:t xml:space="preserve"> са дефиницијама, стандардима и</w:t>
      </w:r>
      <w:r>
        <w:rPr>
          <w:lang w:val="sr-Cyrl-RS"/>
        </w:rPr>
        <w:t xml:space="preserve"> </w:t>
      </w:r>
      <w:r w:rsidRPr="00E516B1">
        <w:rPr>
          <w:lang w:val="sr-Cyrl-RS"/>
        </w:rPr>
        <w:t>регулативама ЕУ. Усвојени су кључни закони, укључујући и Закон о</w:t>
      </w:r>
      <w:r>
        <w:rPr>
          <w:lang w:val="sr-Cyrl-RS"/>
        </w:rPr>
        <w:t xml:space="preserve"> </w:t>
      </w:r>
      <w:r w:rsidRPr="00E516B1">
        <w:rPr>
          <w:lang w:val="sr-Cyrl-RS"/>
        </w:rPr>
        <w:t>управљању миграцијама (Сл. гласник Р</w:t>
      </w:r>
      <w:r w:rsidR="009917A2">
        <w:rPr>
          <w:lang w:val="sr-Cyrl-RS"/>
        </w:rPr>
        <w:t xml:space="preserve">С 107/2012) који </w:t>
      </w:r>
      <w:r w:rsidRPr="00E516B1">
        <w:rPr>
          <w:lang w:val="sr-Cyrl-RS"/>
        </w:rPr>
        <w:t xml:space="preserve">дефинише различите облике миграција и </w:t>
      </w:r>
      <w:r w:rsidR="009917A2">
        <w:rPr>
          <w:lang w:val="sr-Cyrl-RS"/>
        </w:rPr>
        <w:t>наводи</w:t>
      </w:r>
      <w:r w:rsidRPr="00E516B1">
        <w:rPr>
          <w:lang w:val="sr-Cyrl-RS"/>
        </w:rPr>
        <w:t xml:space="preserve"> надлежности и</w:t>
      </w:r>
      <w:r>
        <w:rPr>
          <w:lang w:val="sr-Cyrl-RS"/>
        </w:rPr>
        <w:t xml:space="preserve"> </w:t>
      </w:r>
      <w:r w:rsidRPr="00E516B1">
        <w:rPr>
          <w:lang w:val="sr-Cyrl-RS"/>
        </w:rPr>
        <w:t xml:space="preserve">процедуре за њихово регулисање, придржавајући се </w:t>
      </w:r>
      <w:r w:rsidR="00595061">
        <w:rPr>
          <w:lang w:val="sr-Cyrl-RS"/>
        </w:rPr>
        <w:t>класификација</w:t>
      </w:r>
      <w:r w:rsidRPr="00E516B1">
        <w:rPr>
          <w:lang w:val="sr-Cyrl-RS"/>
        </w:rPr>
        <w:t xml:space="preserve"> ЕУ.</w:t>
      </w:r>
      <w:r>
        <w:rPr>
          <w:lang w:val="sr-Cyrl-RS"/>
        </w:rPr>
        <w:t xml:space="preserve"> Треба напоменути да је </w:t>
      </w:r>
      <w:r w:rsidRPr="00E516B1">
        <w:rPr>
          <w:lang w:val="sr-Cyrl-RS"/>
        </w:rPr>
        <w:t xml:space="preserve">због географског положаја, Србија </w:t>
      </w:r>
      <w:r>
        <w:rPr>
          <w:lang w:val="sr-Cyrl-RS"/>
        </w:rPr>
        <w:t xml:space="preserve">важна </w:t>
      </w:r>
      <w:r w:rsidRPr="00E516B1">
        <w:rPr>
          <w:lang w:val="sr-Cyrl-RS"/>
        </w:rPr>
        <w:t>област на транзитној рути нерегуларних миграција које теку од Азије и Африке, преко</w:t>
      </w:r>
      <w:r>
        <w:rPr>
          <w:lang w:val="sr-Cyrl-RS"/>
        </w:rPr>
        <w:t xml:space="preserve"> </w:t>
      </w:r>
      <w:r w:rsidRPr="00E516B1">
        <w:rPr>
          <w:lang w:val="sr-Cyrl-RS"/>
        </w:rPr>
        <w:t xml:space="preserve">Грчке и Западног Балкана, према земљама ЕУ и шенгенске зоне. </w:t>
      </w:r>
      <w:r w:rsidR="000E182E">
        <w:rPr>
          <w:lang w:val="sr-Cyrl-RS"/>
        </w:rPr>
        <w:t xml:space="preserve">Примера ради, </w:t>
      </w:r>
      <w:r w:rsidR="000E182E">
        <w:rPr>
          <w:rFonts w:eastAsia="Times New Roman"/>
          <w:lang w:val="sr-Cyrl-RS"/>
        </w:rPr>
        <w:t xml:space="preserve">процентуално учешће илегалних боравака у региону </w:t>
      </w:r>
      <w:r w:rsidR="000D0ABA">
        <w:rPr>
          <w:rFonts w:eastAsia="Times New Roman"/>
          <w:lang w:val="sr-Cyrl-RS"/>
        </w:rPr>
        <w:t xml:space="preserve">је следеће: Србија 28%, Црна Гора </w:t>
      </w:r>
      <w:r w:rsidR="000E182E">
        <w:rPr>
          <w:rFonts w:eastAsia="Times New Roman"/>
          <w:lang w:val="sr-Cyrl-RS"/>
        </w:rPr>
        <w:t>26%,</w:t>
      </w:r>
      <w:r w:rsidR="000D0ABA">
        <w:rPr>
          <w:rFonts w:eastAsia="Times New Roman"/>
          <w:lang w:val="sr-Cyrl-RS"/>
        </w:rPr>
        <w:t xml:space="preserve"> БиХ 23% и Македонија</w:t>
      </w:r>
      <w:r w:rsidR="000E182E">
        <w:rPr>
          <w:rFonts w:eastAsia="Times New Roman"/>
          <w:lang w:val="sr-Cyrl-RS"/>
        </w:rPr>
        <w:t xml:space="preserve"> </w:t>
      </w:r>
      <w:r w:rsidR="000E182E">
        <w:rPr>
          <w:rFonts w:eastAsia="Times New Roman"/>
          <w:lang w:val="sr-Cyrl-RS"/>
        </w:rPr>
        <w:lastRenderedPageBreak/>
        <w:t>12%</w:t>
      </w:r>
      <w:r w:rsidR="000D0ABA">
        <w:rPr>
          <w:rFonts w:eastAsia="Times New Roman"/>
          <w:lang w:val="sr-Cyrl-RS"/>
        </w:rPr>
        <w:t xml:space="preserve"> (подаци Еуростата за 2. квартал 2016.)</w:t>
      </w:r>
      <w:r w:rsidR="000E182E">
        <w:rPr>
          <w:rFonts w:eastAsia="Times New Roman"/>
          <w:lang w:val="sr-Cyrl-RS"/>
        </w:rPr>
        <w:t>.</w:t>
      </w:r>
      <w:r w:rsidR="000E182E">
        <w:rPr>
          <w:rStyle w:val="FootnoteReference"/>
          <w:rFonts w:eastAsia="Times New Roman"/>
          <w:lang w:val="sr-Cyrl-RS"/>
        </w:rPr>
        <w:footnoteReference w:id="32"/>
      </w:r>
      <w:r w:rsidR="009917A2">
        <w:rPr>
          <w:rFonts w:eastAsia="Times New Roman"/>
          <w:lang w:val="sr-Cyrl-RS"/>
        </w:rPr>
        <w:t xml:space="preserve"> </w:t>
      </w:r>
      <w:r w:rsidRPr="007E0DD7">
        <w:rPr>
          <w:lang w:val="sr-Cyrl-RS"/>
        </w:rPr>
        <w:t xml:space="preserve">Као земља транзита, у складу са законима и конвенцијама, обавеза Србије је да спречава нерегуларне миграције и пружа адекватну подршку тражиоцима азила. Ограничена средства и интензивирање миграционих токова последњих година отежавају услове за испуњење тих задатака. </w:t>
      </w:r>
      <w:r w:rsidR="007E0DD7" w:rsidRPr="003D4A1D">
        <w:rPr>
          <w:lang w:val="sr-Cyrl-RS"/>
        </w:rPr>
        <w:t xml:space="preserve">Хумано поступање према тражиоцима азила и обезбеђивање минималних услова за егзистенцију док се налазе у Србији представља </w:t>
      </w:r>
      <w:r w:rsidR="002B5C89" w:rsidRPr="003D4A1D">
        <w:rPr>
          <w:lang w:val="sr-Cyrl-RS"/>
        </w:rPr>
        <w:t xml:space="preserve">обавезу и </w:t>
      </w:r>
      <w:r w:rsidR="007E0DD7" w:rsidRPr="003D4A1D">
        <w:rPr>
          <w:lang w:val="sr-Cyrl-RS"/>
        </w:rPr>
        <w:t xml:space="preserve">изазов у </w:t>
      </w:r>
      <w:r w:rsidR="007526DC" w:rsidRPr="003D4A1D">
        <w:rPr>
          <w:lang w:val="sr-Cyrl-RS"/>
        </w:rPr>
        <w:t>условима ограничених средстава.</w:t>
      </w:r>
    </w:p>
    <w:p w:rsidR="00236791" w:rsidRPr="009917A2" w:rsidRDefault="00020485" w:rsidP="007526DC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9917A2">
        <w:rPr>
          <w:rFonts w:ascii="Arial" w:hAnsi="Arial" w:cs="Arial"/>
          <w:sz w:val="20"/>
          <w:szCs w:val="20"/>
          <w:lang w:val="sr-Cyrl-RS"/>
        </w:rPr>
        <w:t xml:space="preserve">У истраживању је приказан правни и институционални оквир за управљање миграцијама у Србији, као и подаци о захтевима за азил од 2010. до </w:t>
      </w:r>
      <w:r w:rsidR="00BA66CB">
        <w:rPr>
          <w:rFonts w:ascii="Arial" w:hAnsi="Arial" w:cs="Arial"/>
          <w:sz w:val="20"/>
          <w:szCs w:val="20"/>
          <w:lang w:val="sr-Cyrl-RS"/>
        </w:rPr>
        <w:t xml:space="preserve">краја прве 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половине 2016. године.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Како је велики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>талас дола</w:t>
      </w:r>
      <w:r w:rsidR="005004BC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ска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м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>игран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>т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у наш регион довео до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активирање система националне безбедности,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као и сарадњу на међународном нивоу и рад са х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>уманитарн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им </w:t>
      </w:r>
      <w:r w:rsidR="00236791" w:rsidRPr="009917A2">
        <w:rPr>
          <w:rFonts w:ascii="Arial" w:hAnsi="Arial" w:cs="Arial"/>
          <w:color w:val="222222"/>
          <w:sz w:val="20"/>
          <w:szCs w:val="20"/>
          <w:lang w:val="sr-Latn-RS"/>
        </w:rPr>
        <w:t>организаци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>јам</w:t>
      </w:r>
      <w:r w:rsidR="00BA66CB">
        <w:rPr>
          <w:rFonts w:ascii="Arial" w:hAnsi="Arial" w:cs="Arial"/>
          <w:color w:val="222222"/>
          <w:sz w:val="20"/>
          <w:szCs w:val="20"/>
          <w:lang w:val="sr-Cyrl-RS"/>
        </w:rPr>
        <w:t xml:space="preserve">а, у раду се наводе подаци </w:t>
      </w:r>
      <w:r w:rsidR="00BA66CB">
        <w:rPr>
          <w:rFonts w:ascii="Arial" w:hAnsi="Arial" w:cs="Arial"/>
          <w:color w:val="222222"/>
          <w:sz w:val="20"/>
          <w:szCs w:val="20"/>
        </w:rPr>
        <w:t>UNHCR</w:t>
      </w:r>
      <w:r w:rsidR="00BA66CB">
        <w:rPr>
          <w:rFonts w:ascii="Arial" w:hAnsi="Arial" w:cs="Arial"/>
          <w:color w:val="222222"/>
          <w:sz w:val="20"/>
          <w:szCs w:val="20"/>
          <w:lang w:val="sr-Cyrl-RS"/>
        </w:rPr>
        <w:t xml:space="preserve"> и </w:t>
      </w:r>
      <w:r w:rsidR="00BA66CB">
        <w:rPr>
          <w:rFonts w:ascii="Arial" w:hAnsi="Arial" w:cs="Arial"/>
          <w:color w:val="222222"/>
          <w:sz w:val="20"/>
          <w:szCs w:val="20"/>
        </w:rPr>
        <w:t>UNICEF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и </w:t>
      </w:r>
      <w:r w:rsidR="000E182E" w:rsidRPr="009917A2">
        <w:rPr>
          <w:rFonts w:ascii="Arial" w:hAnsi="Arial" w:cs="Arial"/>
          <w:color w:val="222222"/>
          <w:sz w:val="20"/>
          <w:szCs w:val="20"/>
          <w:lang w:val="sr-Cyrl-RS"/>
        </w:rPr>
        <w:t>статистика</w:t>
      </w:r>
      <w:r w:rsidR="00236791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захтева за међународну заштиту.</w:t>
      </w:r>
      <w:r w:rsidR="009917A2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33"/>
      </w:r>
      <w:r w:rsidR="00A355B0"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Посебно интересантна је </w:t>
      </w:r>
      <w:r w:rsidR="00BA66CB">
        <w:rPr>
          <w:rFonts w:ascii="Arial" w:hAnsi="Arial" w:cs="Arial"/>
          <w:sz w:val="20"/>
          <w:szCs w:val="20"/>
          <w:lang w:val="sr-Cyrl-RS"/>
        </w:rPr>
        <w:t>западно б</w:t>
      </w:r>
      <w:r w:rsidR="00A355B0" w:rsidRPr="009917A2">
        <w:rPr>
          <w:rFonts w:ascii="Arial" w:hAnsi="Arial" w:cs="Arial"/>
          <w:sz w:val="20"/>
          <w:szCs w:val="20"/>
          <w:lang w:val="sr-Cyrl-RS"/>
        </w:rPr>
        <w:t>алканска путања, па је приказан број илегалних прелазака на нивоу земаља региона по</w:t>
      </w:r>
      <w:r w:rsidR="009917A2">
        <w:rPr>
          <w:rFonts w:ascii="Arial" w:hAnsi="Arial" w:cs="Arial"/>
          <w:sz w:val="20"/>
          <w:szCs w:val="20"/>
          <w:lang w:val="sr-Cyrl-RS"/>
        </w:rPr>
        <w:t xml:space="preserve"> годинама и евидентирано је 764.</w:t>
      </w:r>
      <w:r w:rsidR="00A355B0" w:rsidRPr="009917A2">
        <w:rPr>
          <w:rFonts w:ascii="Arial" w:hAnsi="Arial" w:cs="Arial"/>
          <w:sz w:val="20"/>
          <w:szCs w:val="20"/>
          <w:lang w:val="sr-Cyrl-RS"/>
        </w:rPr>
        <w:t>038 лица прошле године.</w:t>
      </w:r>
      <w:r w:rsidR="005236C5"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E182E" w:rsidRDefault="00020485" w:rsidP="000E182E">
      <w:pPr>
        <w:spacing w:line="360" w:lineRule="auto"/>
        <w:jc w:val="both"/>
        <w:rPr>
          <w:iCs/>
          <w:lang w:val="sr-Cyrl-RS"/>
        </w:rPr>
      </w:pPr>
      <w:r w:rsidRPr="005004BC">
        <w:rPr>
          <w:color w:val="222222"/>
          <w:lang w:val="sr-Cyrl-RS"/>
        </w:rPr>
        <w:t xml:space="preserve">Према </w:t>
      </w:r>
      <w:r w:rsidR="00236791" w:rsidRPr="005004BC">
        <w:rPr>
          <w:color w:val="222222"/>
          <w:lang w:val="sr-Cyrl-RS"/>
        </w:rPr>
        <w:t>информацијама</w:t>
      </w:r>
      <w:r w:rsidRPr="005004BC">
        <w:rPr>
          <w:color w:val="222222"/>
          <w:lang w:val="sr-Cyrl-RS"/>
        </w:rPr>
        <w:t xml:space="preserve"> истраживача из Парламента</w:t>
      </w:r>
      <w:r w:rsidRPr="005004BC">
        <w:rPr>
          <w:color w:val="222222"/>
          <w:lang w:val="sr-Latn-RS"/>
        </w:rPr>
        <w:t xml:space="preserve"> Словеније, </w:t>
      </w:r>
      <w:r w:rsidRPr="005004BC">
        <w:rPr>
          <w:color w:val="222222"/>
          <w:lang w:val="sr-Cyrl-RS"/>
        </w:rPr>
        <w:t xml:space="preserve">ова држава </w:t>
      </w:r>
      <w:r w:rsidRPr="005004BC">
        <w:rPr>
          <w:color w:val="222222"/>
          <w:lang w:val="sr-Latn-RS"/>
        </w:rPr>
        <w:t>је постала главн</w:t>
      </w:r>
      <w:r w:rsidRPr="005004BC">
        <w:rPr>
          <w:color w:val="222222"/>
          <w:lang w:val="sr-Cyrl-RS"/>
        </w:rPr>
        <w:t>а</w:t>
      </w:r>
      <w:r w:rsidRPr="005004BC">
        <w:rPr>
          <w:color w:val="222222"/>
          <w:lang w:val="sr-Latn-RS"/>
        </w:rPr>
        <w:t xml:space="preserve"> тачк</w:t>
      </w:r>
      <w:r w:rsidRPr="005004BC">
        <w:rPr>
          <w:color w:val="222222"/>
          <w:lang w:val="sr-Cyrl-RS"/>
        </w:rPr>
        <w:t xml:space="preserve">а за </w:t>
      </w:r>
      <w:r w:rsidRPr="005004BC">
        <w:rPr>
          <w:color w:val="222222"/>
          <w:lang w:val="sr-Latn-RS"/>
        </w:rPr>
        <w:t>прелазак на</w:t>
      </w:r>
      <w:r w:rsidRPr="005004BC">
        <w:rPr>
          <w:color w:val="222222"/>
          <w:lang w:val="sr-Cyrl-RS"/>
        </w:rPr>
        <w:t xml:space="preserve"> </w:t>
      </w:r>
      <w:r w:rsidRPr="005004BC">
        <w:rPr>
          <w:color w:val="222222"/>
          <w:lang w:val="sr-Latn-RS"/>
        </w:rPr>
        <w:t xml:space="preserve">хиљаде миграната који су желели да наставе на путу ка </w:t>
      </w:r>
      <w:r w:rsidRPr="005004BC">
        <w:rPr>
          <w:color w:val="222222"/>
          <w:lang w:val="sr-Cyrl-RS"/>
        </w:rPr>
        <w:t>земљама</w:t>
      </w:r>
      <w:r w:rsidR="00236791" w:rsidRPr="005004BC">
        <w:rPr>
          <w:color w:val="222222"/>
          <w:lang w:val="sr-Latn-RS"/>
        </w:rPr>
        <w:t xml:space="preserve"> западне Европе</w:t>
      </w:r>
      <w:r w:rsidR="00236791" w:rsidRPr="005004BC">
        <w:rPr>
          <w:color w:val="222222"/>
          <w:lang w:val="sr-Cyrl-RS"/>
        </w:rPr>
        <w:t xml:space="preserve">, па је анализирана политика миграција у овој земљи као и у БиХ, на основу података из </w:t>
      </w:r>
      <w:r w:rsidR="00236791" w:rsidRPr="005004BC">
        <w:rPr>
          <w:iCs/>
          <w:lang w:val="sr-Cyrl-RS"/>
        </w:rPr>
        <w:t xml:space="preserve">Парламентарне скупштине БиХ. </w:t>
      </w:r>
    </w:p>
    <w:p w:rsidR="00E73648" w:rsidRPr="00643CF2" w:rsidRDefault="00E73648" w:rsidP="00E73648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iCs/>
          <w:lang w:val="sr-Cyrl-RS"/>
        </w:rPr>
        <w:t xml:space="preserve">О актуелности и важности миграционе политике сведоче и подаци </w:t>
      </w:r>
      <w:r w:rsidRPr="00E73648">
        <w:rPr>
          <w:lang w:val="sr-Cyrl-RS"/>
        </w:rPr>
        <w:t>Међународн</w:t>
      </w:r>
      <w:r w:rsidR="00643CF2">
        <w:rPr>
          <w:lang w:val="sr-Cyrl-RS"/>
        </w:rPr>
        <w:t>е организације за миграције</w:t>
      </w:r>
      <w:r w:rsidRPr="00111876">
        <w:rPr>
          <w:lang w:val="ru-RU"/>
        </w:rPr>
        <w:t>,</w:t>
      </w:r>
      <w:r>
        <w:rPr>
          <w:lang w:val="sr-Cyrl-RS"/>
        </w:rPr>
        <w:t xml:space="preserve"> према којима је </w:t>
      </w:r>
      <w:r w:rsidR="009917A2">
        <w:rPr>
          <w:color w:val="222222"/>
          <w:lang w:val="sr-Cyrl-RS"/>
        </w:rPr>
        <w:t>прошле</w:t>
      </w:r>
      <w:r>
        <w:rPr>
          <w:color w:val="222222"/>
          <w:lang w:val="sr-Latn-RS"/>
        </w:rPr>
        <w:t xml:space="preserve"> годин</w:t>
      </w:r>
      <w:r w:rsidR="00643CF2">
        <w:rPr>
          <w:color w:val="222222"/>
          <w:lang w:val="sr-Cyrl-RS"/>
        </w:rPr>
        <w:t>е</w:t>
      </w:r>
      <w:r w:rsidR="009917A2">
        <w:rPr>
          <w:color w:val="222222"/>
          <w:lang w:val="sr-Cyrl-RS"/>
        </w:rPr>
        <w:t xml:space="preserve"> </w:t>
      </w:r>
      <w:r w:rsidR="009917A2">
        <w:rPr>
          <w:color w:val="222222"/>
          <w:lang w:val="sr-Latn-RS"/>
        </w:rPr>
        <w:t>5</w:t>
      </w:r>
      <w:r w:rsidR="009917A2">
        <w:rPr>
          <w:color w:val="222222"/>
          <w:lang w:val="sr-Cyrl-RS"/>
        </w:rPr>
        <w:t>.</w:t>
      </w:r>
      <w:r w:rsidR="009917A2">
        <w:rPr>
          <w:color w:val="222222"/>
          <w:lang w:val="sr-Latn-RS"/>
        </w:rPr>
        <w:t>400 мигрант</w:t>
      </w:r>
      <w:r w:rsidR="009917A2">
        <w:rPr>
          <w:color w:val="222222"/>
          <w:lang w:val="sr-Cyrl-RS"/>
        </w:rPr>
        <w:t>а</w:t>
      </w:r>
      <w:r w:rsidR="009917A2">
        <w:rPr>
          <w:color w:val="222222"/>
          <w:lang w:val="sr-Latn-RS"/>
        </w:rPr>
        <w:t xml:space="preserve"> погинуло или нестало </w:t>
      </w:r>
      <w:r w:rsidR="009917A2">
        <w:rPr>
          <w:color w:val="222222"/>
          <w:lang w:val="sr-Cyrl-RS"/>
        </w:rPr>
        <w:t>у покушају</w:t>
      </w:r>
      <w:r w:rsidR="009917A2">
        <w:rPr>
          <w:color w:val="222222"/>
          <w:lang w:val="sr-Latn-RS"/>
        </w:rPr>
        <w:t xml:space="preserve"> да пређе међународне границе</w:t>
      </w:r>
      <w:r w:rsidR="00643CF2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 xml:space="preserve">због повећаног </w:t>
      </w:r>
      <w:r>
        <w:rPr>
          <w:color w:val="222222"/>
          <w:lang w:val="sr-Latn-RS"/>
        </w:rPr>
        <w:t>ниво</w:t>
      </w:r>
      <w:r>
        <w:rPr>
          <w:color w:val="222222"/>
          <w:lang w:val="sr-Cyrl-RS"/>
        </w:rPr>
        <w:t xml:space="preserve">а </w:t>
      </w:r>
      <w:r>
        <w:rPr>
          <w:color w:val="222222"/>
          <w:lang w:val="sr-Latn-RS"/>
        </w:rPr>
        <w:t>присилног расељавања</w:t>
      </w:r>
      <w:r>
        <w:rPr>
          <w:color w:val="222222"/>
          <w:lang w:val="sr-Cyrl-RS"/>
        </w:rPr>
        <w:t xml:space="preserve"> на </w:t>
      </w:r>
      <w:r>
        <w:rPr>
          <w:color w:val="222222"/>
          <w:lang w:val="sr-Latn-RS"/>
        </w:rPr>
        <w:t xml:space="preserve"> глобално</w:t>
      </w:r>
      <w:r w:rsidR="00A07311">
        <w:rPr>
          <w:color w:val="222222"/>
          <w:lang w:val="sr-Cyrl-RS"/>
        </w:rPr>
        <w:t>м нивоу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 xml:space="preserve">Број </w:t>
      </w:r>
      <w:r>
        <w:rPr>
          <w:color w:val="222222"/>
          <w:lang w:val="sr-Latn-RS"/>
        </w:rPr>
        <w:t>погинулих миграната током миграције у Европи по</w:t>
      </w:r>
      <w:r>
        <w:rPr>
          <w:color w:val="222222"/>
          <w:lang w:val="sr-Cyrl-RS"/>
        </w:rPr>
        <w:t>већан је</w:t>
      </w:r>
      <w:r>
        <w:rPr>
          <w:color w:val="222222"/>
          <w:lang w:val="sr-Latn-RS"/>
        </w:rPr>
        <w:t xml:space="preserve"> за 15% у односу на претходну годину</w:t>
      </w:r>
      <w:r>
        <w:rPr>
          <w:color w:val="222222"/>
          <w:lang w:val="sr-Cyrl-RS"/>
        </w:rPr>
        <w:t xml:space="preserve"> - </w:t>
      </w:r>
      <w:r>
        <w:rPr>
          <w:color w:val="222222"/>
          <w:lang w:val="sr-Latn-RS"/>
        </w:rPr>
        <w:t>најмање 3.770.</w:t>
      </w:r>
      <w:r>
        <w:rPr>
          <w:color w:val="222222"/>
          <w:lang w:val="sr-Cyrl-RS"/>
        </w:rPr>
        <w:t xml:space="preserve">  </w:t>
      </w:r>
      <w:r>
        <w:rPr>
          <w:color w:val="222222"/>
          <w:lang w:val="sr-Latn-RS"/>
        </w:rPr>
        <w:t xml:space="preserve">Од 2014. до 2015. године, </w:t>
      </w:r>
      <w:r>
        <w:rPr>
          <w:color w:val="222222"/>
          <w:lang w:val="sr-Cyrl-RS"/>
        </w:rPr>
        <w:t xml:space="preserve">догодили су се </w:t>
      </w:r>
      <w:r>
        <w:rPr>
          <w:color w:val="222222"/>
          <w:lang w:val="sr-Latn-RS"/>
        </w:rPr>
        <w:t>нагли преокрет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у правцима илегалне миграције од мора до Европе</w:t>
      </w:r>
      <w:r>
        <w:rPr>
          <w:color w:val="222222"/>
          <w:lang w:val="sr-Cyrl-RS"/>
        </w:rPr>
        <w:t>:</w:t>
      </w:r>
      <w:r w:rsidR="009917A2">
        <w:rPr>
          <w:color w:val="222222"/>
          <w:lang w:val="sr-Latn-RS"/>
        </w:rPr>
        <w:t xml:space="preserve"> око 853</w:t>
      </w:r>
      <w:r w:rsidR="009917A2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000 </w:t>
      </w:r>
      <w:r>
        <w:rPr>
          <w:color w:val="222222"/>
          <w:lang w:val="sr-Cyrl-RS"/>
        </w:rPr>
        <w:t>улазака</w:t>
      </w:r>
      <w:r w:rsidR="009917A2">
        <w:rPr>
          <w:color w:val="222222"/>
          <w:lang w:val="sr-Latn-RS"/>
        </w:rPr>
        <w:t xml:space="preserve"> у Грчку у односу на скоро 154</w:t>
      </w:r>
      <w:r w:rsidR="009917A2">
        <w:rPr>
          <w:color w:val="222222"/>
          <w:lang w:val="sr-Cyrl-RS"/>
        </w:rPr>
        <w:t>.</w:t>
      </w:r>
      <w:r w:rsidR="00406E61">
        <w:rPr>
          <w:color w:val="222222"/>
          <w:lang w:val="sr-Latn-RS"/>
        </w:rPr>
        <w:t>000 у Италију, за разлику од 34</w:t>
      </w:r>
      <w:r w:rsidR="00406E61">
        <w:rPr>
          <w:color w:val="222222"/>
          <w:lang w:val="sr-Cyrl-RS"/>
        </w:rPr>
        <w:t>.</w:t>
      </w:r>
      <w:r w:rsidR="00406E61">
        <w:rPr>
          <w:color w:val="222222"/>
          <w:lang w:val="sr-Latn-RS"/>
        </w:rPr>
        <w:t>400 и 170</w:t>
      </w:r>
      <w:r w:rsidR="009917A2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100 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2014. годин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У 2015. </w:t>
      </w:r>
      <w:r w:rsidR="00984AE0">
        <w:rPr>
          <w:color w:val="222222"/>
          <w:lang w:val="sr-Cyrl-RS"/>
        </w:rPr>
        <w:t>г</w:t>
      </w:r>
      <w:r>
        <w:rPr>
          <w:color w:val="222222"/>
          <w:lang w:val="sr-Latn-RS"/>
        </w:rPr>
        <w:t>одини</w:t>
      </w:r>
      <w:r w:rsidR="00643CF2">
        <w:rPr>
          <w:color w:val="222222"/>
          <w:lang w:val="sr-Cyrl-RS"/>
        </w:rPr>
        <w:t>. т</w:t>
      </w:r>
      <w:r>
        <w:rPr>
          <w:color w:val="222222"/>
          <w:lang w:val="sr-Cyrl-RS"/>
        </w:rPr>
        <w:t>акође,</w:t>
      </w:r>
      <w:r>
        <w:rPr>
          <w:color w:val="222222"/>
          <w:lang w:val="sr-Latn-RS"/>
        </w:rPr>
        <w:t xml:space="preserve"> број добровољних повратака миграната (нпр</w:t>
      </w:r>
      <w:r>
        <w:rPr>
          <w:color w:val="222222"/>
          <w:lang w:val="sr-Cyrl-RS"/>
        </w:rPr>
        <w:t>:</w:t>
      </w:r>
      <w:r>
        <w:rPr>
          <w:color w:val="222222"/>
          <w:lang w:val="sr-Latn-RS"/>
        </w:rPr>
        <w:t xml:space="preserve"> неуспешних азиланата и других група) из земаља ЕУ је по први пут већи </w:t>
      </w:r>
      <w:r w:rsidR="00132ABB">
        <w:rPr>
          <w:color w:val="222222"/>
          <w:lang w:val="sr-Latn-RS"/>
        </w:rPr>
        <w:t>од броја присилног повратка (81</w:t>
      </w:r>
      <w:r w:rsidR="00132ABB">
        <w:rPr>
          <w:color w:val="222222"/>
          <w:lang w:val="sr-Cyrl-RS"/>
        </w:rPr>
        <w:t>.</w:t>
      </w:r>
      <w:r>
        <w:rPr>
          <w:color w:val="222222"/>
          <w:lang w:val="sr-Latn-RS"/>
        </w:rPr>
        <w:t>681 пр</w:t>
      </w:r>
      <w:r>
        <w:rPr>
          <w:color w:val="222222"/>
          <w:lang w:val="sr-Cyrl-RS"/>
        </w:rPr>
        <w:t>ема</w:t>
      </w:r>
      <w:r w:rsidR="00132ABB">
        <w:rPr>
          <w:color w:val="222222"/>
          <w:lang w:val="sr-Latn-RS"/>
        </w:rPr>
        <w:t xml:space="preserve"> 72</w:t>
      </w:r>
      <w:r w:rsidR="00132ABB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473). Коначно, јавно мњење </w:t>
      </w:r>
      <w:r w:rsidR="00643CF2">
        <w:rPr>
          <w:color w:val="222222"/>
          <w:lang w:val="sr-Cyrl-RS"/>
        </w:rPr>
        <w:t>по питању</w:t>
      </w:r>
      <w:r>
        <w:rPr>
          <w:color w:val="222222"/>
          <w:lang w:val="sr-Latn-RS"/>
        </w:rPr>
        <w:t xml:space="preserve"> м</w:t>
      </w:r>
      <w:r w:rsidR="00643CF2">
        <w:rPr>
          <w:color w:val="222222"/>
          <w:lang w:val="sr-Latn-RS"/>
        </w:rPr>
        <w:t>играција</w:t>
      </w:r>
      <w:r w:rsidR="00643CF2">
        <w:rPr>
          <w:color w:val="222222"/>
          <w:lang w:val="sr-Cyrl-RS"/>
        </w:rPr>
        <w:t xml:space="preserve"> </w:t>
      </w:r>
      <w:r w:rsidR="00984AE0">
        <w:rPr>
          <w:color w:val="222222"/>
          <w:lang w:val="sr-Latn-RS"/>
        </w:rPr>
        <w:t>глобално је повољниј</w:t>
      </w:r>
      <w:r w:rsidR="00984AE0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него обично - са изузетком Евр</w:t>
      </w:r>
      <w:r w:rsidR="00BA66CB">
        <w:rPr>
          <w:color w:val="222222"/>
          <w:lang w:val="sr-Latn-RS"/>
        </w:rPr>
        <w:t xml:space="preserve">опе, наводи се у извештају </w:t>
      </w:r>
      <w:r w:rsidR="00BA66CB">
        <w:rPr>
          <w:color w:val="222222"/>
          <w:lang w:val="sr-Cyrl-RS"/>
        </w:rPr>
        <w:t>Међународне организације за миграције</w:t>
      </w:r>
      <w:r>
        <w:rPr>
          <w:color w:val="222222"/>
          <w:lang w:val="sr-Latn-RS"/>
        </w:rPr>
        <w:t xml:space="preserve"> "Како свет </w:t>
      </w:r>
      <w:r>
        <w:rPr>
          <w:color w:val="222222"/>
          <w:lang w:val="sr-Cyrl-RS"/>
        </w:rPr>
        <w:t>види миграције</w:t>
      </w:r>
      <w:r w:rsidRPr="00D613F9">
        <w:rPr>
          <w:iCs/>
          <w:lang w:val="sr-Cyrl-RS"/>
        </w:rPr>
        <w:t>”.</w:t>
      </w:r>
      <w:r>
        <w:rPr>
          <w:rStyle w:val="FootnoteReference"/>
          <w:iCs/>
          <w:lang w:val="sr-Cyrl-RS"/>
        </w:rPr>
        <w:footnoteReference w:id="34"/>
      </w:r>
      <w:r w:rsidRPr="00D613F9">
        <w:rPr>
          <w:iCs/>
          <w:lang w:val="sr-Cyrl-RS"/>
        </w:rPr>
        <w:t xml:space="preserve"> </w:t>
      </w:r>
    </w:p>
    <w:p w:rsidR="00E73648" w:rsidRPr="00A144BD" w:rsidRDefault="00E73648" w:rsidP="000E182E">
      <w:pPr>
        <w:spacing w:line="360" w:lineRule="auto"/>
        <w:jc w:val="both"/>
        <w:rPr>
          <w:rFonts w:eastAsia="Times New Roman"/>
          <w:lang w:val="ru-RU"/>
        </w:rPr>
      </w:pPr>
    </w:p>
    <w:p w:rsidR="00111876" w:rsidRDefault="00111876" w:rsidP="000E182E">
      <w:pPr>
        <w:spacing w:line="360" w:lineRule="auto"/>
        <w:jc w:val="both"/>
        <w:rPr>
          <w:rFonts w:eastAsia="Times New Roman"/>
          <w:lang w:val="sr-Latn-RS"/>
        </w:rPr>
      </w:pPr>
    </w:p>
    <w:p w:rsidR="00F13135" w:rsidRPr="00F13135" w:rsidRDefault="00F13135" w:rsidP="000E182E">
      <w:pPr>
        <w:spacing w:line="360" w:lineRule="auto"/>
        <w:jc w:val="both"/>
        <w:rPr>
          <w:rFonts w:eastAsia="Times New Roman"/>
          <w:lang w:val="sr-Latn-RS"/>
        </w:rPr>
      </w:pPr>
    </w:p>
    <w:p w:rsidR="00C36CDF" w:rsidRDefault="00C36CDF" w:rsidP="0087066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ru-RU"/>
        </w:rPr>
      </w:pPr>
    </w:p>
    <w:p w:rsidR="00C5061A" w:rsidRPr="00C32F4C" w:rsidRDefault="00C5061A" w:rsidP="00870660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lang w:val="sr-Cyrl-RS"/>
        </w:rPr>
      </w:pPr>
      <w:r w:rsidRPr="00C32F4C">
        <w:rPr>
          <w:b/>
          <w:i/>
          <w:lang w:val="sr-Cyrl-RS"/>
        </w:rPr>
        <w:t>Извор</w:t>
      </w:r>
      <w:r w:rsidR="000D0ABA" w:rsidRPr="00C32F4C">
        <w:rPr>
          <w:b/>
          <w:i/>
          <w:lang w:val="sr-Cyrl-RS"/>
        </w:rPr>
        <w:t>и</w:t>
      </w:r>
      <w:r w:rsidR="00C32F4C" w:rsidRPr="00C32F4C">
        <w:rPr>
          <w:b/>
          <w:i/>
          <w:lang w:val="sr-Cyrl-RS"/>
        </w:rPr>
        <w:t xml:space="preserve"> информација</w:t>
      </w:r>
    </w:p>
    <w:p w:rsidR="00643CF2" w:rsidRDefault="00643CF2" w:rsidP="00870660">
      <w:pPr>
        <w:autoSpaceDE w:val="0"/>
        <w:autoSpaceDN w:val="0"/>
        <w:adjustRightInd w:val="0"/>
        <w:spacing w:after="0" w:line="360" w:lineRule="auto"/>
        <w:jc w:val="both"/>
        <w:rPr>
          <w:b/>
          <w:iCs/>
          <w:lang w:val="sr-Cyrl-RS"/>
        </w:rPr>
      </w:pPr>
    </w:p>
    <w:p w:rsidR="00643CF2" w:rsidRDefault="00643CF2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 w:rsidRPr="00C32F4C">
        <w:rPr>
          <w:lang w:val="sr-Cyrl-RS"/>
        </w:rPr>
        <w:t xml:space="preserve">Бобић, </w:t>
      </w:r>
      <w:r w:rsidR="00A144BD" w:rsidRPr="00C32F4C">
        <w:rPr>
          <w:lang w:val="sr-Cyrl-RS"/>
        </w:rPr>
        <w:t xml:space="preserve">Мирјана, </w:t>
      </w:r>
      <w:r w:rsidRPr="00C32F4C">
        <w:rPr>
          <w:lang w:val="sr-Cyrl-RS"/>
        </w:rPr>
        <w:t>Бабовић</w:t>
      </w:r>
      <w:r w:rsidR="00A144BD" w:rsidRPr="00C32F4C">
        <w:rPr>
          <w:lang w:val="sr-Cyrl-RS"/>
        </w:rPr>
        <w:t xml:space="preserve"> Марија</w:t>
      </w:r>
      <w:r w:rsidR="00BA66CB">
        <w:rPr>
          <w:lang w:val="sr-Cyrl-RS"/>
        </w:rPr>
        <w:t>,</w:t>
      </w:r>
      <w:r w:rsidRPr="00A144BD">
        <w:rPr>
          <w:lang w:val="sr-Cyrl-RS"/>
        </w:rPr>
        <w:t xml:space="preserve"> Међународне миграције у Србији – стање и политике, </w:t>
      </w:r>
      <w:r w:rsidR="00A144BD">
        <w:rPr>
          <w:lang w:val="sr-Cyrl-RS"/>
        </w:rPr>
        <w:t>Социологија, Год</w:t>
      </w:r>
      <w:r w:rsidR="00C32F4C">
        <w:rPr>
          <w:lang w:val="sr-Cyrl-RS"/>
        </w:rPr>
        <w:t>.</w:t>
      </w:r>
      <w:r w:rsidR="00A144BD">
        <w:rPr>
          <w:lang w:val="sr-Cyrl-RS"/>
        </w:rPr>
        <w:t xml:space="preserve"> 15</w:t>
      </w:r>
      <w:r w:rsidR="00A144BD">
        <w:rPr>
          <w:lang w:val="ru-RU"/>
        </w:rPr>
        <w:t xml:space="preserve">, </w:t>
      </w:r>
      <w:r w:rsidR="00A144BD" w:rsidRPr="00A144BD">
        <w:rPr>
          <w:lang w:val="sr-Cyrl-RS"/>
        </w:rPr>
        <w:t xml:space="preserve">бр. 2 (2013), </w:t>
      </w:r>
      <w:hyperlink r:id="rId15" w:history="1">
        <w:r w:rsidR="00BA66CB" w:rsidRPr="00BA5B8A">
          <w:rPr>
            <w:rStyle w:val="Hyperlink"/>
            <w:lang w:val="sr-Cyrl-RS"/>
          </w:rPr>
          <w:t>http://www.doiserbia.nb.rs/img/doi/0038-0318/2013/0038-03181302209B.pdf</w:t>
        </w:r>
      </w:hyperlink>
    </w:p>
    <w:p w:rsidR="00BA66CB" w:rsidRPr="00A144BD" w:rsidRDefault="00BA66CB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984AE0" w:rsidRDefault="00984AE0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 w:rsidRPr="00A144BD">
        <w:rPr>
          <w:lang w:val="sr-Cyrl-RS"/>
        </w:rPr>
        <w:t xml:space="preserve">Европска агенција за управљање </w:t>
      </w:r>
      <w:r w:rsidR="00395911">
        <w:rPr>
          <w:lang w:val="sr-Cyrl-RS"/>
        </w:rPr>
        <w:t>оперативном сарадњом на спољним границама</w:t>
      </w:r>
      <w:r w:rsidR="00395911" w:rsidRPr="00395911">
        <w:rPr>
          <w:lang w:val="ru-RU"/>
        </w:rPr>
        <w:t xml:space="preserve"> (</w:t>
      </w:r>
      <w:r w:rsidR="00395911">
        <w:t>FRONTEX</w:t>
      </w:r>
      <w:r w:rsidR="00395911" w:rsidRPr="00395911">
        <w:rPr>
          <w:lang w:val="ru-RU"/>
        </w:rPr>
        <w:t>)</w:t>
      </w:r>
      <w:r w:rsidR="00A144BD">
        <w:rPr>
          <w:lang w:val="sr-Cyrl-RS"/>
        </w:rPr>
        <w:t xml:space="preserve">, </w:t>
      </w:r>
      <w:hyperlink r:id="rId16" w:history="1">
        <w:r w:rsidR="00A144BD" w:rsidRPr="00BA5B8A">
          <w:rPr>
            <w:rStyle w:val="Hyperlink"/>
            <w:lang w:val="sr-Cyrl-RS"/>
          </w:rPr>
          <w:t>https://europa.eu/european-union/about-eu/agencies/frontex_hr</w:t>
        </w:r>
      </w:hyperlink>
    </w:p>
    <w:p w:rsidR="00A144BD" w:rsidRPr="00A144BD" w:rsidRDefault="00A144BD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984AE0" w:rsidRPr="008D1013" w:rsidRDefault="00984AE0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395911">
        <w:rPr>
          <w:lang w:val="sr-Cyrl-RS"/>
        </w:rPr>
        <w:t>Европска комисија,</w:t>
      </w:r>
      <w:r w:rsidR="00395911">
        <w:rPr>
          <w:lang w:val="sr-Cyrl-RS"/>
        </w:rPr>
        <w:t xml:space="preserve"> </w:t>
      </w:r>
      <w:hyperlink r:id="rId17" w:history="1">
        <w:r w:rsidR="008D1013" w:rsidRPr="00BA5B8A">
          <w:rPr>
            <w:rStyle w:val="Hyperlink"/>
            <w:lang w:val="sr-Cyrl-RS"/>
          </w:rPr>
          <w:t>http://ec.europa.eu</w:t>
        </w:r>
      </w:hyperlink>
    </w:p>
    <w:p w:rsidR="00C5061A" w:rsidRPr="00C32F4C" w:rsidRDefault="00C5061A" w:rsidP="00C32F4C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C5061A" w:rsidRDefault="00643CF2" w:rsidP="00C32F4C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  <w:r w:rsidRPr="008D1013">
        <w:rPr>
          <w:iCs/>
          <w:lang w:val="sr-Cyrl-RS"/>
        </w:rPr>
        <w:t>Информација</w:t>
      </w:r>
      <w:r w:rsidR="00117EF1" w:rsidRPr="008D1013">
        <w:rPr>
          <w:iCs/>
          <w:lang w:val="sr-Cyrl-RS"/>
        </w:rPr>
        <w:t xml:space="preserve"> Истраживачког</w:t>
      </w:r>
      <w:r w:rsidR="00C5061A" w:rsidRPr="008D1013">
        <w:rPr>
          <w:iCs/>
          <w:lang w:val="sr-Cyrl-RS"/>
        </w:rPr>
        <w:t xml:space="preserve"> </w:t>
      </w:r>
      <w:r w:rsidR="00117EF1" w:rsidRPr="008D1013">
        <w:rPr>
          <w:iCs/>
          <w:lang w:val="sr-Cyrl-RS"/>
        </w:rPr>
        <w:t>секто</w:t>
      </w:r>
      <w:r w:rsidR="00BA66CB">
        <w:rPr>
          <w:iCs/>
          <w:lang w:val="sr-Cyrl-RS"/>
        </w:rPr>
        <w:t>ра Парламентарне скупштине БиХ ''</w:t>
      </w:r>
      <w:r w:rsidR="00117EF1" w:rsidRPr="00C32F4C">
        <w:rPr>
          <w:lang w:val="sr-Cyrl-RS"/>
        </w:rPr>
        <w:t>Босна и Херцеговина и избјегличка криза</w:t>
      </w:r>
      <w:r w:rsidR="008D1013" w:rsidRPr="00C32F4C">
        <w:rPr>
          <w:lang w:val="ru-RU"/>
        </w:rPr>
        <w:t>, (</w:t>
      </w:r>
      <w:r w:rsidR="00117EF1" w:rsidRPr="00C32F4C">
        <w:rPr>
          <w:lang w:val="sr-Cyrl-RS"/>
        </w:rPr>
        <w:t>23.11. 2015.</w:t>
      </w:r>
      <w:r w:rsidR="008D1013" w:rsidRPr="00C32F4C">
        <w:rPr>
          <w:lang w:val="ru-RU"/>
        </w:rPr>
        <w:t>)</w:t>
      </w:r>
      <w:r w:rsidR="00BA66CB">
        <w:rPr>
          <w:lang w:val="ru-RU"/>
        </w:rPr>
        <w:t>''</w:t>
      </w:r>
      <w:r w:rsidR="008D1013" w:rsidRPr="008D1013">
        <w:rPr>
          <w:iCs/>
          <w:lang w:val="ru-RU"/>
        </w:rPr>
        <w:t>,</w:t>
      </w:r>
      <w:r w:rsidR="00117EF1" w:rsidRPr="008D1013">
        <w:rPr>
          <w:iCs/>
          <w:lang w:val="sr-Cyrl-RS"/>
        </w:rPr>
        <w:t xml:space="preserve"> </w:t>
      </w:r>
      <w:hyperlink r:id="rId18" w:history="1">
        <w:r w:rsidR="00C32F4C" w:rsidRPr="00BA5B8A">
          <w:rPr>
            <w:rStyle w:val="Hyperlink"/>
            <w:iCs/>
            <w:lang w:val="sr-Cyrl-RS"/>
          </w:rPr>
          <w:t>https://www.parlament.ba/sadrzaj/about/istrazivanja</w:t>
        </w:r>
      </w:hyperlink>
    </w:p>
    <w:p w:rsidR="00C32F4C" w:rsidRPr="008D1013" w:rsidRDefault="00C32F4C" w:rsidP="00C32F4C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3743BD" w:rsidRPr="00643CF2" w:rsidRDefault="003743BD" w:rsidP="00C32F4C">
      <w:pPr>
        <w:pStyle w:val="FootnoteText"/>
        <w:spacing w:line="360" w:lineRule="auto"/>
        <w:rPr>
          <w:lang w:val="sr-Cyrl-RS"/>
        </w:rPr>
      </w:pPr>
      <w:r w:rsidRPr="003743BD">
        <w:rPr>
          <w:color w:val="222222"/>
          <w:lang w:val="sr-Cyrl-RS"/>
        </w:rPr>
        <w:t>Истраживање</w:t>
      </w:r>
      <w:r>
        <w:rPr>
          <w:color w:val="222222"/>
          <w:lang w:val="sr-Cyrl-RS"/>
        </w:rPr>
        <w:t xml:space="preserve"> </w:t>
      </w:r>
      <w:r w:rsidRPr="005A62A4">
        <w:rPr>
          <w:iCs/>
          <w:lang w:val="sr-Cyrl-RS"/>
        </w:rPr>
        <w:t>Државног збора Словеније</w:t>
      </w:r>
      <w:r w:rsidR="00C32F4C">
        <w:rPr>
          <w:color w:val="222222"/>
          <w:lang w:val="sr-Cyrl-RS"/>
        </w:rPr>
        <w:t xml:space="preserve"> </w:t>
      </w:r>
      <w:r w:rsidR="00BA66CB">
        <w:rPr>
          <w:color w:val="222222"/>
          <w:lang w:val="sr-Cyrl-RS"/>
        </w:rPr>
        <w:t>''</w:t>
      </w:r>
      <w:r w:rsidR="00C32F4C">
        <w:rPr>
          <w:color w:val="222222"/>
          <w:lang w:val="sr-Cyrl-RS"/>
        </w:rPr>
        <w:t>Мигрантска криза у Словенији</w:t>
      </w:r>
      <w:r w:rsidR="00BA66CB">
        <w:rPr>
          <w:color w:val="222222"/>
          <w:lang w:val="sr-Cyrl-RS"/>
        </w:rPr>
        <w:t>''</w:t>
      </w:r>
      <w:r w:rsidR="00C32F4C">
        <w:rPr>
          <w:color w:val="222222"/>
          <w:lang w:val="sr-Cyrl-RS"/>
        </w:rPr>
        <w:t xml:space="preserve"> (</w:t>
      </w:r>
      <w:r w:rsidR="00BA66CB">
        <w:rPr>
          <w:color w:val="222222"/>
          <w:lang w:val="sr-Cyrl-RS"/>
        </w:rPr>
        <w:t>06.0</w:t>
      </w:r>
      <w:r>
        <w:rPr>
          <w:color w:val="222222"/>
          <w:lang w:val="sr-Cyrl-RS"/>
        </w:rPr>
        <w:t>9.2016.</w:t>
      </w:r>
      <w:r w:rsidR="00C32F4C">
        <w:rPr>
          <w:color w:val="222222"/>
          <w:lang w:val="sr-Cyrl-RS"/>
        </w:rPr>
        <w:t>)</w:t>
      </w:r>
    </w:p>
    <w:p w:rsidR="00643CF2" w:rsidRPr="00643CF2" w:rsidRDefault="00643CF2" w:rsidP="00C32F4C">
      <w:pPr>
        <w:pStyle w:val="FootnoteText"/>
        <w:spacing w:line="360" w:lineRule="auto"/>
        <w:ind w:left="644"/>
        <w:rPr>
          <w:lang w:val="sr-Cyrl-RS"/>
        </w:rPr>
      </w:pPr>
    </w:p>
    <w:p w:rsidR="00643CF2" w:rsidRPr="008D1013" w:rsidRDefault="00643CF2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8D1013">
        <w:rPr>
          <w:lang w:val="sr-Cyrl-RS"/>
        </w:rPr>
        <w:t>Међународна организација за миграције</w:t>
      </w:r>
      <w:r w:rsidR="008D1013">
        <w:rPr>
          <w:lang w:val="sr-Cyrl-RS"/>
        </w:rPr>
        <w:t xml:space="preserve">, </w:t>
      </w:r>
      <w:hyperlink r:id="rId19" w:history="1">
        <w:r w:rsidR="008D1013" w:rsidRPr="00BA5B8A">
          <w:rPr>
            <w:rStyle w:val="Hyperlink"/>
            <w:lang w:val="sr-Cyrl-RS"/>
          </w:rPr>
          <w:t>https://serbia.iom.int/sr</w:t>
        </w:r>
      </w:hyperlink>
    </w:p>
    <w:p w:rsidR="008D1013" w:rsidRPr="008D1013" w:rsidRDefault="008D1013" w:rsidP="00C32F4C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643CF2" w:rsidRPr="008D1013" w:rsidRDefault="00643CF2" w:rsidP="00C32F4C">
      <w:pPr>
        <w:autoSpaceDE w:val="0"/>
        <w:autoSpaceDN w:val="0"/>
        <w:adjustRightInd w:val="0"/>
        <w:spacing w:after="0" w:line="360" w:lineRule="auto"/>
        <w:rPr>
          <w:rStyle w:val="Hyperlink"/>
          <w:color w:val="auto"/>
          <w:u w:val="none"/>
          <w:lang w:val="sr-Cyrl-RS"/>
        </w:rPr>
      </w:pPr>
      <w:r w:rsidRPr="008D1013">
        <w:rPr>
          <w:lang w:val="sr-Cyrl-RS"/>
        </w:rPr>
        <w:t xml:space="preserve">Правни и институционални оквир за </w:t>
      </w:r>
      <w:r w:rsidR="00C32F4C">
        <w:rPr>
          <w:lang w:val="sr-Cyrl-RS"/>
        </w:rPr>
        <w:t xml:space="preserve">управљање миграцијама у Србији, </w:t>
      </w:r>
      <w:hyperlink r:id="rId20" w:history="1">
        <w:r w:rsidRPr="008D1013">
          <w:rPr>
            <w:rStyle w:val="Hyperlink"/>
            <w:lang w:val="sr-Cyrl-RS"/>
          </w:rPr>
          <w:t>http://www.parlament.gov.rs</w:t>
        </w:r>
      </w:hyperlink>
      <w:r w:rsidRPr="008D1013">
        <w:rPr>
          <w:rStyle w:val="Hyperlink"/>
          <w:lang w:val="sr-Cyrl-RS"/>
        </w:rPr>
        <w:t>,</w:t>
      </w:r>
    </w:p>
    <w:p w:rsidR="008D1013" w:rsidRPr="00C32F4C" w:rsidRDefault="008D1013" w:rsidP="00C32F4C">
      <w:pPr>
        <w:autoSpaceDE w:val="0"/>
        <w:autoSpaceDN w:val="0"/>
        <w:adjustRightInd w:val="0"/>
        <w:spacing w:after="0" w:line="360" w:lineRule="auto"/>
        <w:rPr>
          <w:lang w:val="ru-RU"/>
        </w:rPr>
      </w:pPr>
    </w:p>
    <w:p w:rsidR="003743BD" w:rsidRDefault="00643CF2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8D1013">
        <w:rPr>
          <w:lang w:val="sr-Cyrl-RS"/>
        </w:rPr>
        <w:t xml:space="preserve">Стратегија за управљање миграцијама </w:t>
      </w:r>
      <w:r w:rsidR="008D1013">
        <w:rPr>
          <w:lang w:val="sr-Cyrl-RS"/>
        </w:rPr>
        <w:t xml:space="preserve">Владе </w:t>
      </w:r>
      <w:r w:rsidRPr="008D1013">
        <w:rPr>
          <w:lang w:val="sr-Cyrl-RS"/>
        </w:rPr>
        <w:t>Републике Србије</w:t>
      </w:r>
      <w:r w:rsidR="008D1013" w:rsidRPr="008D1013">
        <w:rPr>
          <w:lang w:val="ru-RU"/>
        </w:rPr>
        <w:t xml:space="preserve">, </w:t>
      </w:r>
      <w:hyperlink r:id="rId21" w:history="1">
        <w:r w:rsidR="00C32F4C" w:rsidRPr="00BA5B8A">
          <w:rPr>
            <w:rStyle w:val="Hyperlink"/>
            <w:lang w:val="ru-RU"/>
          </w:rPr>
          <w:t>http://dijaspora.gov.rs/wp-content/uploads/2012/12/strategija_upravljanja_migracijama.pdf</w:t>
        </w:r>
      </w:hyperlink>
    </w:p>
    <w:p w:rsidR="00C32F4C" w:rsidRDefault="00C32F4C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</w:p>
    <w:p w:rsidR="00C32F4C" w:rsidRDefault="00C32F4C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C32F4C">
        <w:rPr>
          <w:lang w:val="ru-RU"/>
        </w:rPr>
        <w:t xml:space="preserve">European Agenda on Migration, </w:t>
      </w:r>
      <w:hyperlink r:id="rId22" w:history="1">
        <w:r w:rsidRPr="00BA5B8A">
          <w:rPr>
            <w:rStyle w:val="Hyperlink"/>
            <w:lang w:val="ru-RU"/>
          </w:rPr>
          <w:t>http://ec.europa.eu/dgs/home-affairs/what-we-do/policies/european-agenda-migration/index_en.htm</w:t>
        </w:r>
      </w:hyperlink>
    </w:p>
    <w:p w:rsidR="00C32F4C" w:rsidRDefault="00C32F4C" w:rsidP="00C32F4C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</w:p>
    <w:p w:rsidR="00C32F4C" w:rsidRDefault="00C32F4C" w:rsidP="00C32F4C">
      <w:pPr>
        <w:spacing w:line="360" w:lineRule="auto"/>
        <w:rPr>
          <w:lang w:val="sr-Cyrl-RS"/>
        </w:rPr>
      </w:pPr>
      <w:r w:rsidRPr="00C32F4C">
        <w:t xml:space="preserve">European Asylum Support Office, Latest asylum trends, </w:t>
      </w:r>
      <w:hyperlink r:id="rId23" w:history="1">
        <w:r w:rsidRPr="00BA5B8A">
          <w:rPr>
            <w:rStyle w:val="Hyperlink"/>
          </w:rPr>
          <w:t>https://www.easo.europa.eu/information-analysis/analysis-and-statistics/latest-asylum-trends</w:t>
        </w:r>
      </w:hyperlink>
    </w:p>
    <w:p w:rsidR="00C32F4C" w:rsidRDefault="008D1013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t>UNHCR</w:t>
      </w:r>
      <w:r w:rsidRPr="008D1013">
        <w:rPr>
          <w:lang w:val="ru-RU"/>
        </w:rPr>
        <w:t xml:space="preserve"> </w:t>
      </w:r>
      <w:r>
        <w:rPr>
          <w:lang w:val="sr-Cyrl-RS"/>
        </w:rPr>
        <w:t xml:space="preserve">- Високи комесеријат УН за избеглице, </w:t>
      </w:r>
      <w:hyperlink r:id="rId24" w:history="1">
        <w:r w:rsidRPr="00BA5B8A">
          <w:rPr>
            <w:rStyle w:val="Hyperlink"/>
            <w:lang w:val="sr-Cyrl-RS"/>
          </w:rPr>
          <w:t>http://www.unhcr.rs/</w:t>
        </w:r>
      </w:hyperlink>
    </w:p>
    <w:p w:rsidR="00C32F4C" w:rsidRPr="00C32F4C" w:rsidRDefault="00C32F4C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8D1013" w:rsidRPr="00C32F4C" w:rsidRDefault="008D1013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Latn-BA"/>
        </w:rPr>
      </w:pPr>
      <w:r>
        <w:t>UNICEF</w:t>
      </w:r>
      <w:r w:rsidRPr="00C32F4C">
        <w:rPr>
          <w:lang w:val="sr-Cyrl-RS"/>
        </w:rPr>
        <w:t xml:space="preserve"> -</w:t>
      </w:r>
      <w:r w:rsidR="00C32F4C">
        <w:rPr>
          <w:lang w:val="sr-Cyrl-RS"/>
        </w:rPr>
        <w:t xml:space="preserve"> </w:t>
      </w:r>
      <w:r>
        <w:rPr>
          <w:lang w:val="sr-Cyrl-RS"/>
        </w:rPr>
        <w:t>Дечји фонд УН,</w:t>
      </w:r>
      <w:r w:rsidRPr="00C32F4C">
        <w:rPr>
          <w:lang w:val="sr-Cyrl-RS"/>
        </w:rPr>
        <w:t xml:space="preserve"> </w:t>
      </w:r>
      <w:hyperlink r:id="rId25" w:history="1">
        <w:r w:rsidRPr="00C32F4C">
          <w:rPr>
            <w:rStyle w:val="Hyperlink"/>
            <w:lang w:val="sr-Latn-BA"/>
          </w:rPr>
          <w:t>http://www.unicef.rs/</w:t>
        </w:r>
      </w:hyperlink>
    </w:p>
    <w:p w:rsidR="008D1013" w:rsidRPr="00C32F4C" w:rsidRDefault="008D1013" w:rsidP="00C32F4C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C36CDF" w:rsidRPr="004F2A17" w:rsidRDefault="00C36CDF" w:rsidP="00C36CDF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C36CDF" w:rsidRDefault="00C36CDF" w:rsidP="00C36CDF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C36CDF" w:rsidRPr="00AB35EC" w:rsidRDefault="00C36CDF" w:rsidP="00C36CDF">
      <w:pPr>
        <w:autoSpaceDE w:val="0"/>
        <w:autoSpaceDN w:val="0"/>
        <w:adjustRightInd w:val="0"/>
        <w:spacing w:after="0" w:line="360" w:lineRule="auto"/>
        <w:jc w:val="right"/>
        <w:rPr>
          <w:b/>
          <w:iCs/>
          <w:lang w:val="sr-Cyrl-RS"/>
        </w:rPr>
      </w:pPr>
      <w:r w:rsidRPr="00AB35EC">
        <w:rPr>
          <w:b/>
          <w:iCs/>
          <w:lang w:val="sr-Cyrl-RS"/>
        </w:rPr>
        <w:t>Истраживање урадила:</w:t>
      </w:r>
    </w:p>
    <w:p w:rsidR="00C36CDF" w:rsidRDefault="00C36CDF" w:rsidP="00C36CDF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Cyrl-RS"/>
        </w:rPr>
      </w:pPr>
    </w:p>
    <w:p w:rsidR="00C36CDF" w:rsidRDefault="00C36CDF" w:rsidP="00C36CDF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Cyrl-RS"/>
        </w:rPr>
      </w:pPr>
      <w:r>
        <w:rPr>
          <w:iCs/>
          <w:lang w:val="sr-Cyrl-RS"/>
        </w:rPr>
        <w:t>мр Марина Пријић,</w:t>
      </w:r>
    </w:p>
    <w:p w:rsidR="00C36CDF" w:rsidRPr="00F13135" w:rsidRDefault="00C36CDF" w:rsidP="00F13135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Latn-RS"/>
        </w:rPr>
      </w:pPr>
      <w:r>
        <w:rPr>
          <w:iCs/>
          <w:lang w:val="sr-Cyrl-RS"/>
        </w:rPr>
        <w:t>виши саветник-истраживач</w:t>
      </w:r>
    </w:p>
    <w:sectPr w:rsidR="00C36CDF" w:rsidRPr="00F13135" w:rsidSect="00BA66CB">
      <w:footerReference w:type="default" r:id="rId26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A6" w:rsidRDefault="00EF78A6" w:rsidP="00FF6CD8">
      <w:pPr>
        <w:spacing w:after="0" w:line="240" w:lineRule="auto"/>
      </w:pPr>
      <w:r>
        <w:separator/>
      </w:r>
    </w:p>
  </w:endnote>
  <w:endnote w:type="continuationSeparator" w:id="0">
    <w:p w:rsidR="00EF78A6" w:rsidRDefault="00EF78A6" w:rsidP="00FF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_condensed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711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A77" w:rsidRDefault="009C2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13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C2A77" w:rsidRDefault="009C2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A6" w:rsidRDefault="00EF78A6" w:rsidP="00FF6CD8">
      <w:pPr>
        <w:spacing w:after="0" w:line="240" w:lineRule="auto"/>
      </w:pPr>
      <w:r>
        <w:separator/>
      </w:r>
    </w:p>
  </w:footnote>
  <w:footnote w:type="continuationSeparator" w:id="0">
    <w:p w:rsidR="00EF78A6" w:rsidRDefault="00EF78A6" w:rsidP="00FF6CD8">
      <w:pPr>
        <w:spacing w:after="0" w:line="240" w:lineRule="auto"/>
      </w:pPr>
      <w:r>
        <w:continuationSeparator/>
      </w:r>
    </w:p>
  </w:footnote>
  <w:footnote w:id="1">
    <w:p w:rsidR="009C2A77" w:rsidRPr="00111876" w:rsidRDefault="009C2A77" w:rsidP="00111876">
      <w:pPr>
        <w:pStyle w:val="NoSpacing"/>
        <w:rPr>
          <w:i/>
          <w:sz w:val="18"/>
          <w:szCs w:val="18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hyperlink r:id="rId1" w:history="1">
        <w:r w:rsidRPr="00111876">
          <w:rPr>
            <w:rStyle w:val="Hyperlink"/>
            <w:rFonts w:cs="Helvetica"/>
            <w:i/>
            <w:sz w:val="18"/>
            <w:szCs w:val="18"/>
            <w:lang w:val="en"/>
          </w:rPr>
          <w:t>Regulation (EC) 862/2007</w:t>
        </w:r>
      </w:hyperlink>
    </w:p>
  </w:footnote>
  <w:footnote w:id="2">
    <w:p w:rsidR="009C2A77" w:rsidRPr="00111876" w:rsidRDefault="009C2A77" w:rsidP="00111876">
      <w:pPr>
        <w:pStyle w:val="NoSpacing"/>
        <w:rPr>
          <w:sz w:val="18"/>
          <w:szCs w:val="18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hyperlink r:id="rId2" w:history="1">
        <w:r w:rsidRPr="00111876">
          <w:rPr>
            <w:rStyle w:val="Hyperlink"/>
            <w:sz w:val="18"/>
            <w:szCs w:val="18"/>
          </w:rPr>
          <w:t>http://eur-lex.europa.eu/legal-content/EN/TXT/?qid=1414508297956&amp;uri=CELEX:32007R0862</w:t>
        </w:r>
      </w:hyperlink>
    </w:p>
  </w:footnote>
  <w:footnote w:id="3">
    <w:p w:rsidR="009C2A77" w:rsidRPr="00111876" w:rsidRDefault="009C2A77" w:rsidP="00111876">
      <w:pPr>
        <w:pStyle w:val="NoSpacing"/>
        <w:rPr>
          <w:rFonts w:eastAsia="Times New Roman"/>
          <w:bCs/>
          <w:kern w:val="36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rFonts w:eastAsia="Times New Roman"/>
          <w:bCs/>
          <w:i/>
          <w:kern w:val="36"/>
          <w:sz w:val="18"/>
          <w:szCs w:val="18"/>
        </w:rPr>
        <w:t>Commission proposes new Emergency Assistance instrument for faster crisis response within the EU</w:t>
      </w:r>
      <w:r w:rsidRPr="00111876">
        <w:rPr>
          <w:rFonts w:eastAsia="Times New Roman"/>
          <w:bCs/>
          <w:i/>
          <w:kern w:val="36"/>
          <w:sz w:val="18"/>
          <w:szCs w:val="18"/>
          <w:lang w:val="sr-Cyrl-RS"/>
        </w:rPr>
        <w:t xml:space="preserve">, </w:t>
      </w:r>
      <w:r w:rsidRPr="00111876">
        <w:rPr>
          <w:rFonts w:eastAsia="Times New Roman"/>
          <w:bCs/>
          <w:kern w:val="36"/>
          <w:sz w:val="18"/>
          <w:szCs w:val="18"/>
          <w:lang w:val="sr-Cyrl-RS"/>
        </w:rPr>
        <w:t>март 2016.</w:t>
      </w:r>
    </w:p>
    <w:p w:rsidR="009C2A77" w:rsidRPr="00111876" w:rsidRDefault="009C2A77" w:rsidP="00111876">
      <w:pPr>
        <w:pStyle w:val="NoSpacing"/>
        <w:rPr>
          <w:rFonts w:eastAsia="Times New Roman"/>
          <w:bCs/>
          <w:kern w:val="36"/>
          <w:sz w:val="18"/>
          <w:szCs w:val="18"/>
          <w:lang w:val="sr-Cyrl-RS"/>
        </w:rPr>
      </w:pPr>
      <w:r w:rsidRPr="00111876">
        <w:rPr>
          <w:rFonts w:eastAsia="Times New Roman"/>
          <w:bCs/>
          <w:kern w:val="36"/>
          <w:sz w:val="18"/>
          <w:szCs w:val="18"/>
          <w:lang w:val="sr-Cyrl-RS"/>
        </w:rPr>
        <w:t xml:space="preserve">Више информација </w:t>
      </w:r>
      <w:r w:rsidRPr="00111876">
        <w:rPr>
          <w:rFonts w:eastAsia="Times New Roman"/>
          <w:bCs/>
          <w:kern w:val="36"/>
          <w:sz w:val="18"/>
          <w:szCs w:val="18"/>
          <w:lang w:val="sr-Cyrl-RS"/>
        </w:rPr>
        <w:t xml:space="preserve">на интернет адреси: </w:t>
      </w:r>
      <w:hyperlink r:id="rId3" w:history="1">
        <w:r w:rsidRPr="00111876">
          <w:rPr>
            <w:rStyle w:val="Hyperlink"/>
            <w:rFonts w:eastAsia="Times New Roman"/>
            <w:bCs/>
            <w:kern w:val="36"/>
            <w:sz w:val="18"/>
            <w:szCs w:val="18"/>
            <w:lang w:val="sr-Cyrl-RS"/>
          </w:rPr>
          <w:t>http://europa.eu/rapid/press-release_IP-16-482_en.htm?locale=en</w:t>
        </w:r>
      </w:hyperlink>
    </w:p>
  </w:footnote>
  <w:footnote w:id="4">
    <w:p w:rsidR="009C2A77" w:rsidRPr="00111876" w:rsidRDefault="009C2A77" w:rsidP="00111876">
      <w:pPr>
        <w:pStyle w:val="NoSpacing"/>
        <w:rPr>
          <w:b/>
          <w:color w:val="222222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i/>
          <w:sz w:val="18"/>
          <w:szCs w:val="18"/>
          <w:lang w:val="sr-Cyrl-RS"/>
        </w:rPr>
        <w:t>The New York Declaration</w:t>
      </w:r>
      <w:r w:rsidRPr="00111876">
        <w:rPr>
          <w:sz w:val="18"/>
          <w:szCs w:val="18"/>
          <w:lang w:val="sr-Cyrl-RS"/>
        </w:rPr>
        <w:t xml:space="preserve"> – </w:t>
      </w:r>
      <w:hyperlink r:id="rId4" w:history="1">
        <w:r w:rsidRPr="00111876">
          <w:rPr>
            <w:rStyle w:val="Hyperlink"/>
            <w:sz w:val="18"/>
            <w:szCs w:val="18"/>
            <w:lang w:val="sr-Cyrl-RS"/>
          </w:rPr>
          <w:t>https://refugeesmigrants.un.org/sites/default/files/a_71_l1.pdf</w:t>
        </w:r>
      </w:hyperlink>
    </w:p>
  </w:footnote>
  <w:footnote w:id="5">
    <w:p w:rsidR="009C2A77" w:rsidRPr="00111876" w:rsidRDefault="009C2A77" w:rsidP="00111876">
      <w:pPr>
        <w:pStyle w:val="NoSpacing"/>
        <w:rPr>
          <w:color w:val="222222"/>
          <w:sz w:val="18"/>
          <w:szCs w:val="18"/>
          <w:lang w:val="ru-RU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 xml:space="preserve">Више информација </w:t>
      </w:r>
      <w:r w:rsidRPr="00111876">
        <w:rPr>
          <w:sz w:val="18"/>
          <w:szCs w:val="18"/>
          <w:lang w:val="sr-Cyrl-RS"/>
        </w:rPr>
        <w:t xml:space="preserve">на интернет адреси: </w:t>
      </w:r>
      <w:hyperlink r:id="rId5" w:history="1">
        <w:r w:rsidRPr="00111876">
          <w:rPr>
            <w:rStyle w:val="Hyperlink"/>
            <w:sz w:val="18"/>
            <w:szCs w:val="18"/>
            <w:lang w:val="sr-Cyrl-RS"/>
          </w:rPr>
          <w:t>http://gmdac.iom.int/global-migration-trends-factsheet</w:t>
        </w:r>
      </w:hyperlink>
    </w:p>
  </w:footnote>
  <w:footnote w:id="6">
    <w:p w:rsidR="009C2A77" w:rsidRPr="00111876" w:rsidRDefault="009C2A77" w:rsidP="00111876">
      <w:pPr>
        <w:pStyle w:val="NoSpacing"/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6" w:history="1">
        <w:r w:rsidRPr="00111876">
          <w:rPr>
            <w:rStyle w:val="Hyperlink"/>
            <w:rFonts w:eastAsia="Times New Roman"/>
            <w:sz w:val="18"/>
            <w:szCs w:val="18"/>
          </w:rPr>
          <w:t>http</w:t>
        </w:r>
        <w:r w:rsidRPr="00111876">
          <w:rPr>
            <w:rStyle w:val="Hyperlink"/>
            <w:rFonts w:eastAsia="Times New Roman"/>
            <w:sz w:val="18"/>
            <w:szCs w:val="18"/>
            <w:lang w:val="sr-Cyrl-CS"/>
          </w:rPr>
          <w:t>://frontex.europa.eu/tr</w:t>
        </w:r>
        <w:r w:rsidRPr="00F13135">
          <w:rPr>
            <w:rStyle w:val="Hyperlink"/>
            <w:rFonts w:eastAsia="Times New Roman"/>
            <w:sz w:val="18"/>
            <w:szCs w:val="18"/>
            <w:lang w:val="sr-Latn-BA"/>
          </w:rPr>
          <w:t>ends-a</w:t>
        </w:r>
        <w:r w:rsidRPr="00111876">
          <w:rPr>
            <w:rStyle w:val="Hyperlink"/>
            <w:rFonts w:eastAsia="Times New Roman"/>
            <w:sz w:val="18"/>
            <w:szCs w:val="18"/>
          </w:rPr>
          <w:t>nd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routes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/</w:t>
        </w:r>
        <w:r w:rsidRPr="00111876">
          <w:rPr>
            <w:rStyle w:val="Hyperlink"/>
            <w:rFonts w:eastAsia="Times New Roman"/>
            <w:sz w:val="18"/>
            <w:szCs w:val="18"/>
          </w:rPr>
          <w:t>migratory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routes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map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/</w:t>
        </w:r>
      </w:hyperlink>
    </w:p>
    <w:p w:rsidR="009C2A77" w:rsidRPr="005F5E0E" w:rsidRDefault="009C2A77" w:rsidP="00111876">
      <w:pPr>
        <w:pStyle w:val="NoSpacing"/>
        <w:rPr>
          <w:lang w:val="sr-Cyrl-RS"/>
        </w:rPr>
      </w:pPr>
    </w:p>
  </w:footnote>
  <w:footnote w:id="7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sz w:val="18"/>
          <w:szCs w:val="18"/>
          <w:lang w:val="sr-Cyrl-RS"/>
        </w:rPr>
        <w:t>Latest asylum trends–August 2016“ Number of applications for international protection in the EU+“</w:t>
      </w:r>
    </w:p>
    <w:p w:rsidR="009C2A77" w:rsidRPr="00111876" w:rsidRDefault="009C2A77" w:rsidP="00111876">
      <w:pPr>
        <w:pStyle w:val="NoSpacing"/>
        <w:rPr>
          <w:color w:val="222222"/>
          <w:sz w:val="18"/>
          <w:szCs w:val="18"/>
          <w:lang w:val="sr-Cyrl-RS"/>
        </w:rPr>
      </w:pPr>
      <w:r w:rsidRPr="00111876">
        <w:rPr>
          <w:color w:val="222222"/>
          <w:sz w:val="18"/>
          <w:szCs w:val="18"/>
          <w:lang w:val="sr-Cyrl-RS"/>
        </w:rPr>
        <w:t>28 чланица ЕУ + Норвешка + Швајцарска</w:t>
      </w:r>
    </w:p>
  </w:footnote>
  <w:footnote w:id="8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color w:val="222222"/>
          <w:sz w:val="18"/>
          <w:szCs w:val="18"/>
          <w:lang w:val="sr-Cyrl-RS"/>
        </w:rPr>
        <w:t>П</w:t>
      </w:r>
      <w:r w:rsidRPr="00111876">
        <w:rPr>
          <w:color w:val="222222"/>
          <w:sz w:val="18"/>
          <w:szCs w:val="18"/>
          <w:lang w:val="sr-Latn-RS"/>
        </w:rPr>
        <w:t xml:space="preserve">односилац захтева за међународну заштиту </w:t>
      </w:r>
      <w:r w:rsidRPr="00111876">
        <w:rPr>
          <w:color w:val="222222"/>
          <w:sz w:val="18"/>
          <w:szCs w:val="18"/>
          <w:lang w:val="sr-Cyrl-RS"/>
        </w:rPr>
        <w:t xml:space="preserve">први пут </w:t>
      </w:r>
      <w:r w:rsidRPr="00111876">
        <w:rPr>
          <w:color w:val="222222"/>
          <w:sz w:val="18"/>
          <w:szCs w:val="18"/>
          <w:lang w:val="sr-Latn-RS"/>
        </w:rPr>
        <w:t>је особа која је подне</w:t>
      </w:r>
      <w:r w:rsidRPr="00111876">
        <w:rPr>
          <w:color w:val="222222"/>
          <w:sz w:val="18"/>
          <w:szCs w:val="18"/>
          <w:lang w:val="sr-Cyrl-RS"/>
        </w:rPr>
        <w:t>ла</w:t>
      </w:r>
      <w:r w:rsidRPr="00111876">
        <w:rPr>
          <w:color w:val="222222"/>
          <w:sz w:val="18"/>
          <w:szCs w:val="18"/>
          <w:lang w:val="sr-Latn-RS"/>
        </w:rPr>
        <w:t xml:space="preserve"> захтев за азил по први пут у датој држави чланици ЕУ и самим тим искључује понављање апликаната у тој држави чланици и тако </w:t>
      </w:r>
      <w:r w:rsidRPr="00111876">
        <w:rPr>
          <w:color w:val="222222"/>
          <w:sz w:val="18"/>
          <w:szCs w:val="18"/>
          <w:lang w:val="sr-Cyrl-RS"/>
        </w:rPr>
        <w:t>се</w:t>
      </w:r>
      <w:r w:rsidRPr="00111876">
        <w:rPr>
          <w:color w:val="222222"/>
          <w:sz w:val="18"/>
          <w:szCs w:val="18"/>
          <w:lang w:val="sr-Latn-RS"/>
        </w:rPr>
        <w:t xml:space="preserve"> прецизније одражава број пристиглих</w:t>
      </w:r>
      <w:r>
        <w:rPr>
          <w:color w:val="222222"/>
          <w:sz w:val="18"/>
          <w:szCs w:val="18"/>
          <w:lang w:val="sr-Cyrl-RS"/>
        </w:rPr>
        <w:t xml:space="preserve"> </w:t>
      </w:r>
      <w:r w:rsidRPr="00111876">
        <w:rPr>
          <w:color w:val="222222"/>
          <w:sz w:val="18"/>
          <w:szCs w:val="18"/>
          <w:lang w:val="sr-Latn-RS"/>
        </w:rPr>
        <w:t xml:space="preserve"> лиц</w:t>
      </w:r>
      <w:r w:rsidRPr="00111876">
        <w:rPr>
          <w:color w:val="222222"/>
          <w:sz w:val="18"/>
          <w:szCs w:val="18"/>
          <w:lang w:val="sr-Cyrl-RS"/>
        </w:rPr>
        <w:t>а</w:t>
      </w:r>
      <w:r w:rsidRPr="00111876">
        <w:rPr>
          <w:color w:val="222222"/>
          <w:sz w:val="18"/>
          <w:szCs w:val="18"/>
          <w:lang w:val="sr-Latn-RS"/>
        </w:rPr>
        <w:t xml:space="preserve"> која траже међународн</w:t>
      </w:r>
      <w:r w:rsidRPr="00111876">
        <w:rPr>
          <w:color w:val="222222"/>
          <w:sz w:val="18"/>
          <w:szCs w:val="18"/>
          <w:lang w:val="sr-Cyrl-RS"/>
        </w:rPr>
        <w:t>у</w:t>
      </w:r>
      <w:r w:rsidRPr="00111876">
        <w:rPr>
          <w:color w:val="222222"/>
          <w:sz w:val="18"/>
          <w:szCs w:val="18"/>
          <w:lang w:val="sr-Latn-RS"/>
        </w:rPr>
        <w:t xml:space="preserve"> заштита у </w:t>
      </w:r>
      <w:r w:rsidRPr="00111876">
        <w:rPr>
          <w:color w:val="222222"/>
          <w:sz w:val="18"/>
          <w:szCs w:val="18"/>
          <w:lang w:val="sr-Cyrl-RS"/>
        </w:rPr>
        <w:t>одређеној земљи</w:t>
      </w:r>
      <w:r w:rsidRPr="00111876">
        <w:rPr>
          <w:color w:val="222222"/>
          <w:sz w:val="18"/>
          <w:szCs w:val="18"/>
          <w:lang w:val="sr-Latn-RS"/>
        </w:rPr>
        <w:t>.</w:t>
      </w:r>
    </w:p>
  </w:footnote>
  <w:footnote w:id="9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RS"/>
        </w:rPr>
        <w:t>Подаци</w:t>
      </w:r>
      <w:r w:rsidRPr="009B69BC">
        <w:rPr>
          <w:lang w:val="ru-RU"/>
        </w:rPr>
        <w:t xml:space="preserve"> </w:t>
      </w:r>
      <w:r w:rsidRPr="009B69BC">
        <w:rPr>
          <w:sz w:val="18"/>
          <w:szCs w:val="18"/>
          <w:lang w:val="sr-Cyrl-RS"/>
        </w:rPr>
        <w:t>UNICEF</w:t>
      </w:r>
      <w:r>
        <w:rPr>
          <w:sz w:val="18"/>
          <w:szCs w:val="18"/>
          <w:lang w:val="sr-Cyrl-RS"/>
        </w:rPr>
        <w:t xml:space="preserve"> </w:t>
      </w:r>
      <w:r w:rsidRPr="00111876">
        <w:rPr>
          <w:sz w:val="18"/>
          <w:szCs w:val="18"/>
          <w:lang w:val="sr-Cyrl-RS"/>
        </w:rPr>
        <w:t xml:space="preserve"> одосе се на податке из Србије, Македоније, Словеније, Хрватске и Грчке</w:t>
      </w:r>
    </w:p>
  </w:footnote>
  <w:footnote w:id="10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111876">
        <w:rPr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>Према: Међународне миграц</w:t>
      </w:r>
      <w:r>
        <w:rPr>
          <w:sz w:val="18"/>
          <w:szCs w:val="18"/>
          <w:lang w:val="sr-Cyrl-RS"/>
        </w:rPr>
        <w:t xml:space="preserve">ије у Србији </w:t>
      </w:r>
      <w:r>
        <w:rPr>
          <w:sz w:val="18"/>
          <w:szCs w:val="18"/>
          <w:lang w:val="sr-Cyrl-RS"/>
        </w:rPr>
        <w:t>– стање и политике</w:t>
      </w:r>
      <w:r>
        <w:rPr>
          <w:sz w:val="18"/>
          <w:szCs w:val="18"/>
          <w:lang w:val="sr-Latn-RS"/>
        </w:rPr>
        <w:t>,</w:t>
      </w:r>
      <w:r w:rsidRPr="00111876">
        <w:rPr>
          <w:sz w:val="18"/>
          <w:szCs w:val="18"/>
          <w:lang w:val="sr-Cyrl-RS"/>
        </w:rPr>
        <w:t xml:space="preserve"> </w:t>
      </w:r>
      <w:hyperlink r:id="rId7" w:history="1">
        <w:r w:rsidRPr="00111876">
          <w:rPr>
            <w:rStyle w:val="Hyperlink"/>
            <w:sz w:val="18"/>
            <w:szCs w:val="18"/>
            <w:lang w:val="sr-Cyrl-RS"/>
          </w:rPr>
          <w:t>http://www.doiserbia.nb.rs/img/doi/0038-0318/2013/0038-03181302209B.pdf</w:t>
        </w:r>
      </w:hyperlink>
      <w:r w:rsidRPr="00111876">
        <w:rPr>
          <w:sz w:val="18"/>
          <w:szCs w:val="18"/>
          <w:lang w:val="sr-Cyrl-RS"/>
        </w:rPr>
        <w:t>, стр.227.</w:t>
      </w:r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</w:p>
    <w:p w:rsidR="009C2A77" w:rsidRPr="00F5501B" w:rsidRDefault="009C2A77" w:rsidP="003417D3">
      <w:pPr>
        <w:pStyle w:val="FootnoteText"/>
        <w:rPr>
          <w:lang w:val="sr-Cyrl-RS"/>
        </w:rPr>
      </w:pPr>
    </w:p>
  </w:footnote>
  <w:footnote w:id="11">
    <w:p w:rsidR="009C2A77" w:rsidRPr="00111876" w:rsidRDefault="009C2A77" w:rsidP="00111876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Latn-RS"/>
        </w:rPr>
        <w:footnoteRef/>
      </w:r>
      <w:r w:rsidRPr="00111876">
        <w:rPr>
          <w:sz w:val="18"/>
          <w:szCs w:val="18"/>
          <w:lang w:val="sr-Latn-RS"/>
        </w:rPr>
        <w:t xml:space="preserve"> Overview of indicators as reported by WB-RAN members, WB-RAN data as of 10 August 2016.</w:t>
      </w:r>
    </w:p>
  </w:footnote>
  <w:footnote w:id="12">
    <w:p w:rsidR="009C2A77" w:rsidRPr="00111876" w:rsidRDefault="009C2A77" w:rsidP="00111876">
      <w:pPr>
        <w:pStyle w:val="NoSpacing"/>
        <w:rPr>
          <w:rFonts w:ascii="roboto_condensedregular" w:hAnsi="roboto_condensedregular" w:cs="Helvetica"/>
          <w:color w:val="2873E6"/>
          <w:kern w:val="36"/>
          <w:sz w:val="18"/>
          <w:szCs w:val="18"/>
          <w:lang w:val="ru-RU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kern w:val="36"/>
          <w:sz w:val="18"/>
          <w:szCs w:val="18"/>
          <w:lang w:val="en"/>
        </w:rPr>
        <w:t>Asylum</w:t>
      </w:r>
      <w:r w:rsidRPr="00111876">
        <w:rPr>
          <w:kern w:val="36"/>
          <w:sz w:val="18"/>
          <w:szCs w:val="18"/>
          <w:lang w:val="ru-RU"/>
        </w:rPr>
        <w:t xml:space="preserve"> </w:t>
      </w:r>
      <w:r w:rsidRPr="00111876">
        <w:rPr>
          <w:kern w:val="36"/>
          <w:sz w:val="18"/>
          <w:szCs w:val="18"/>
          <w:lang w:val="en"/>
        </w:rPr>
        <w:t>statistics</w:t>
      </w:r>
    </w:p>
    <w:p w:rsidR="009C2A77" w:rsidRPr="00111876" w:rsidRDefault="009C2A77" w:rsidP="00111876">
      <w:pPr>
        <w:pStyle w:val="NoSpacing"/>
        <w:rPr>
          <w:sz w:val="18"/>
          <w:szCs w:val="18"/>
          <w:lang w:val="sr-Cyrl-CS"/>
        </w:rPr>
      </w:pPr>
      <w:hyperlink r:id="rId8" w:history="1">
        <w:r w:rsidRPr="00111876">
          <w:rPr>
            <w:rStyle w:val="Hyperlink"/>
            <w:sz w:val="18"/>
            <w:szCs w:val="18"/>
            <w:lang w:val="sr-Cyrl-CS"/>
          </w:rPr>
          <w:t>http://ec.europa.eu/eurostat/statistics-explained/index.php/Asylum_statistics</w:t>
        </w:r>
      </w:hyperlink>
    </w:p>
    <w:p w:rsidR="009C2A77" w:rsidRPr="00111876" w:rsidRDefault="009C2A77" w:rsidP="00AB35EC">
      <w:pPr>
        <w:pStyle w:val="FootnoteText"/>
        <w:rPr>
          <w:sz w:val="18"/>
          <w:szCs w:val="18"/>
          <w:lang w:val="sr-Cyrl-CS"/>
        </w:rPr>
      </w:pPr>
    </w:p>
  </w:footnote>
  <w:footnote w:id="13">
    <w:p w:rsidR="009C2A77" w:rsidRPr="00111876" w:rsidRDefault="009C2A77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111876">
        <w:rPr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>Исто</w:t>
      </w:r>
    </w:p>
  </w:footnote>
  <w:footnote w:id="14">
    <w:p w:rsidR="009C2A77" w:rsidRPr="00A85215" w:rsidRDefault="009C2A77" w:rsidP="00AB35EC">
      <w:pPr>
        <w:pStyle w:val="FootnoteText"/>
        <w:rPr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A144BD">
        <w:rPr>
          <w:sz w:val="18"/>
          <w:szCs w:val="18"/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>Исто</w:t>
      </w:r>
    </w:p>
  </w:footnote>
  <w:footnote w:id="15">
    <w:p w:rsidR="009C2A77" w:rsidRPr="009C2A77" w:rsidRDefault="009C2A77" w:rsidP="00111876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 </w:t>
      </w:r>
      <w:r w:rsidRPr="00111876">
        <w:rPr>
          <w:sz w:val="18"/>
          <w:szCs w:val="18"/>
          <w:lang w:val="sr-Cyrl-RS"/>
        </w:rPr>
        <w:t xml:space="preserve">Број </w:t>
      </w:r>
      <w:r w:rsidRPr="00111876">
        <w:rPr>
          <w:sz w:val="18"/>
          <w:szCs w:val="18"/>
          <w:lang w:val="sr-Cyrl-RS"/>
        </w:rPr>
        <w:t>захтева за међународну заштиту</w:t>
      </w:r>
      <w:r>
        <w:rPr>
          <w:sz w:val="18"/>
          <w:szCs w:val="18"/>
          <w:lang w:val="sr-Latn-RS"/>
        </w:rPr>
        <w:t>,</w:t>
      </w:r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hyperlink r:id="rId9" w:history="1">
        <w:r w:rsidRPr="00111876">
          <w:rPr>
            <w:rStyle w:val="Hyperlink"/>
            <w:sz w:val="18"/>
            <w:szCs w:val="18"/>
            <w:lang w:val="sr-Cyrl-RS"/>
          </w:rPr>
          <w:t>http://azil.rs/doc/Periodicni_final_SRP.pdf</w:t>
        </w:r>
      </w:hyperlink>
    </w:p>
  </w:footnote>
  <w:footnote w:id="16">
    <w:p w:rsidR="009C2A77" w:rsidRPr="009C2A77" w:rsidRDefault="009C2A77" w:rsidP="00111876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 xml:space="preserve">Преглед правног и институционалног оквира за </w:t>
      </w:r>
      <w:r w:rsidRPr="00111876">
        <w:rPr>
          <w:sz w:val="18"/>
          <w:szCs w:val="18"/>
          <w:lang w:val="sr-Cyrl-RS"/>
        </w:rPr>
        <w:t>управљање миграцијама у Србији</w:t>
      </w:r>
      <w:r>
        <w:rPr>
          <w:sz w:val="18"/>
          <w:szCs w:val="18"/>
          <w:lang w:val="sr-Latn-RS"/>
        </w:rPr>
        <w:t>,</w:t>
      </w:r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hyperlink r:id="rId10" w:history="1">
        <w:r w:rsidRPr="00111876">
          <w:rPr>
            <w:rStyle w:val="Hyperlink"/>
            <w:sz w:val="18"/>
            <w:szCs w:val="18"/>
            <w:lang w:val="sr-Cyrl-RS"/>
          </w:rPr>
          <w:t>http://www.kirs.gov.rs/docs/migracije/Pregled_pravnog_i_institucionalnog_okvira_Republike_Srbije_u_oblasti_upravljanja_migracijama.pdf</w:t>
        </w:r>
      </w:hyperlink>
    </w:p>
  </w:footnote>
  <w:footnote w:id="17">
    <w:p w:rsidR="009C2A77" w:rsidRPr="00111876" w:rsidRDefault="009C2A77" w:rsidP="006B0D00">
      <w:pPr>
        <w:pStyle w:val="FootnoteText"/>
        <w:jc w:val="both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>Стратегија за управљање миграцијама („Службени гласник РС“, број 59/09), унапређује оквир за управљање миграцијама и поставља стратешке циљеве у области миграционе политике.</w:t>
      </w:r>
    </w:p>
  </w:footnote>
  <w:footnote w:id="18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1" w:history="1">
        <w:r w:rsidRPr="00111876">
          <w:rPr>
            <w:rStyle w:val="Hyperlink"/>
            <w:sz w:val="18"/>
            <w:szCs w:val="18"/>
            <w:lang w:val="sr-Cyrl-RS"/>
          </w:rPr>
          <w:t>http://www.parlament.gov.rs/upload/archive/files/lat/pdf/zakoni/2012/3118-12Lat.pdf</w:t>
        </w:r>
      </w:hyperlink>
    </w:p>
  </w:footnote>
  <w:footnote w:id="19">
    <w:p w:rsidR="009C2A77" w:rsidRPr="009C2A77" w:rsidRDefault="009C2A77" w:rsidP="00111876">
      <w:pPr>
        <w:pStyle w:val="NoSpacing"/>
        <w:rPr>
          <w:color w:val="222222"/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sz w:val="18"/>
          <w:szCs w:val="18"/>
          <w:lang w:val="sr-Cyrl-RS"/>
        </w:rPr>
        <w:t xml:space="preserve">Према: </w:t>
      </w:r>
      <w:r w:rsidRPr="00111876">
        <w:rPr>
          <w:i/>
          <w:iCs/>
          <w:sz w:val="18"/>
          <w:szCs w:val="18"/>
          <w:lang w:val="sr-Cyrl-RS"/>
        </w:rPr>
        <w:t>Бобић,М.,Бабовић,М.</w:t>
      </w:r>
      <w:r w:rsidRPr="00111876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Latn-RS"/>
        </w:rPr>
        <w:t>(</w:t>
      </w:r>
      <w:r>
        <w:rPr>
          <w:sz w:val="18"/>
          <w:szCs w:val="18"/>
          <w:lang w:val="sr-Cyrl-RS"/>
        </w:rPr>
        <w:t>2013</w:t>
      </w:r>
      <w:r>
        <w:rPr>
          <w:sz w:val="18"/>
          <w:szCs w:val="18"/>
          <w:lang w:val="sr-Latn-RS"/>
        </w:rPr>
        <w:t>),</w:t>
      </w:r>
      <w:r w:rsidRPr="00111876">
        <w:rPr>
          <w:sz w:val="18"/>
          <w:szCs w:val="18"/>
          <w:lang w:val="sr-Cyrl-RS"/>
        </w:rPr>
        <w:t xml:space="preserve"> Међународне миграције у Србији – стање и политике , Београд</w:t>
      </w:r>
      <w:r>
        <w:rPr>
          <w:color w:val="222222"/>
          <w:sz w:val="18"/>
          <w:szCs w:val="18"/>
          <w:lang w:val="sr-Latn-RS"/>
        </w:rPr>
        <w:t>,</w:t>
      </w:r>
      <w:r w:rsidRPr="00111876">
        <w:rPr>
          <w:color w:val="222222"/>
          <w:sz w:val="18"/>
          <w:szCs w:val="18"/>
          <w:lang w:val="sr-Cyrl-RS"/>
        </w:rPr>
        <w:t xml:space="preserve"> </w:t>
      </w:r>
      <w:hyperlink r:id="rId12" w:history="1">
        <w:r w:rsidRPr="00111876">
          <w:rPr>
            <w:rStyle w:val="Hyperlink"/>
            <w:sz w:val="18"/>
            <w:szCs w:val="18"/>
            <w:lang w:val="sr-Cyrl-RS"/>
          </w:rPr>
          <w:t>http://www.doiserbia.nb.rs/img/doi/0038-0318/2013/0038-03181302209B.pdf</w:t>
        </w:r>
      </w:hyperlink>
    </w:p>
  </w:footnote>
  <w:footnote w:id="20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3" w:history="1">
        <w:r w:rsidRPr="00111876">
          <w:rPr>
            <w:rStyle w:val="Hyperlink"/>
            <w:sz w:val="18"/>
            <w:szCs w:val="18"/>
            <w:lang w:val="sr-Cyrl-RS"/>
          </w:rPr>
          <w:t>http://www.bgcentar.org.rs/bgcentar/wp-content/uploads/2016/09/SRB-FINAL.pdf</w:t>
        </w:r>
      </w:hyperlink>
    </w:p>
  </w:footnote>
  <w:footnote w:id="21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4" w:history="1">
        <w:r w:rsidRPr="00111876">
          <w:rPr>
            <w:rStyle w:val="Hyperlink"/>
            <w:sz w:val="18"/>
            <w:szCs w:val="18"/>
            <w:lang w:val="sr-Cyrl-RS"/>
          </w:rPr>
          <w:t>http://azil-podrska.com/2016/10/10/izbeglicka-situacija-u-srbiji-u-septembru-2016-godine/</w:t>
        </w:r>
      </w:hyperlink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</w:p>
  </w:footnote>
  <w:footnote w:id="22">
    <w:p w:rsidR="009C2A77" w:rsidRPr="00A144BD" w:rsidRDefault="009C2A77" w:rsidP="00111876">
      <w:pPr>
        <w:pStyle w:val="NoSpacing"/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hyperlink r:id="rId15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https://www.parlament.ba/sadrzaj/ostali_akti/strategije/default.aspx?id=59374&amp;langTag=bs-BA&amp;pril=b</w:t>
        </w:r>
      </w:hyperlink>
      <w:r w:rsidRPr="00111876">
        <w:rPr>
          <w:rFonts w:eastAsia="Times New Roman"/>
          <w:sz w:val="18"/>
          <w:szCs w:val="18"/>
          <w:lang w:val="sr-Cyrl-RS"/>
        </w:rPr>
        <w:t xml:space="preserve"> (15.11.2015.)</w:t>
      </w:r>
    </w:p>
  </w:footnote>
  <w:footnote w:id="23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Истраживање ПСБи</w:t>
      </w:r>
      <w:r w:rsidRPr="00111876">
        <w:rPr>
          <w:sz w:val="18"/>
          <w:szCs w:val="18"/>
          <w:lang w:val="sr-Cyrl-RS"/>
        </w:rPr>
        <w:t>Х</w:t>
      </w:r>
    </w:p>
  </w:footnote>
  <w:footnote w:id="24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6" w:history="1">
        <w:r w:rsidRPr="00111876">
          <w:rPr>
            <w:rStyle w:val="Hyperlink"/>
            <w:sz w:val="18"/>
            <w:szCs w:val="18"/>
            <w:lang w:val="sr-Cyrl-RS"/>
          </w:rPr>
          <w:t>http://www.dz-rs.si/wps/portal/Home/deloDZ/raziskovalnaDejavnost/RaziskovalneNaloge</w:t>
        </w:r>
      </w:hyperlink>
    </w:p>
  </w:footnote>
  <w:footnote w:id="25">
    <w:p w:rsidR="009C2A77" w:rsidRPr="00111876" w:rsidRDefault="009C2A77">
      <w:pPr>
        <w:pStyle w:val="FootnoteText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>
        <w:rPr>
          <w:color w:val="222222"/>
          <w:sz w:val="18"/>
          <w:szCs w:val="18"/>
          <w:lang w:val="sr-Cyrl-RS"/>
        </w:rPr>
        <w:t>П</w:t>
      </w:r>
      <w:r w:rsidRPr="00111876">
        <w:rPr>
          <w:color w:val="222222"/>
          <w:sz w:val="18"/>
          <w:szCs w:val="18"/>
          <w:lang w:val="sr-Cyrl-RS"/>
        </w:rPr>
        <w:t>одаци Министарства унутрашњих послова Словеније, према ист</w:t>
      </w:r>
      <w:r>
        <w:rPr>
          <w:color w:val="222222"/>
          <w:sz w:val="18"/>
          <w:szCs w:val="18"/>
          <w:lang w:val="sr-Cyrl-RS"/>
        </w:rPr>
        <w:t>раживању ''</w:t>
      </w:r>
      <w:r w:rsidRPr="00111876">
        <w:rPr>
          <w:color w:val="222222"/>
          <w:sz w:val="18"/>
          <w:szCs w:val="18"/>
          <w:lang w:val="sr-Cyrl-RS"/>
        </w:rPr>
        <w:t xml:space="preserve"> Мигрантска криза у Словенији</w:t>
      </w:r>
      <w:r>
        <w:rPr>
          <w:color w:val="222222"/>
          <w:sz w:val="18"/>
          <w:szCs w:val="18"/>
          <w:lang w:val="sr-Cyrl-RS"/>
        </w:rPr>
        <w:t>''</w:t>
      </w:r>
      <w:r w:rsidRPr="00111876">
        <w:rPr>
          <w:color w:val="222222"/>
          <w:sz w:val="18"/>
          <w:szCs w:val="18"/>
          <w:lang w:val="sr-Cyrl-RS"/>
        </w:rPr>
        <w:t>, 6. септембар 2016.</w:t>
      </w:r>
    </w:p>
  </w:footnote>
  <w:footnote w:id="26">
    <w:p w:rsidR="009C2A77" w:rsidRPr="00111876" w:rsidRDefault="009C2A77">
      <w:pPr>
        <w:pStyle w:val="FootnoteText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sz w:val="18"/>
          <w:szCs w:val="18"/>
          <w:lang w:val="sr-Cyrl-RS"/>
        </w:rPr>
        <w:t>Међународна организације за миграције, статистика</w:t>
      </w:r>
    </w:p>
  </w:footnote>
  <w:footnote w:id="27">
    <w:p w:rsidR="009C2A77" w:rsidRPr="00111876" w:rsidRDefault="009C2A77" w:rsidP="005A62A4">
      <w:pPr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7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http://ec.europa.eu/dgs/home-affairs</w:t>
        </w:r>
      </w:hyperlink>
    </w:p>
  </w:footnote>
  <w:footnote w:id="28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Европска комисија, интернет адреса:</w:t>
      </w:r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hyperlink r:id="rId18" w:anchor="Page?title=Asyl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http://ec.europa.eu/eurostat/statisticsexplained/mobile/index.php#Page?title=Asyl</w:t>
        </w:r>
      </w:hyperlink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sz w:val="18"/>
          <w:szCs w:val="18"/>
          <w:lang w:val="sr-Cyrl-RS"/>
        </w:rPr>
        <w:t>новембар 2015.</w:t>
      </w:r>
    </w:p>
  </w:footnote>
  <w:footnote w:id="29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9" w:history="1">
        <w:r w:rsidRPr="00111876">
          <w:rPr>
            <w:rStyle w:val="Hyperlink"/>
            <w:sz w:val="18"/>
            <w:szCs w:val="18"/>
            <w:lang w:val="sr-Cyrl-RS"/>
          </w:rPr>
          <w:t>http://frontex.europa.eu/research/role/</w:t>
        </w:r>
      </w:hyperlink>
    </w:p>
  </w:footnote>
  <w:footnote w:id="30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Подаци Међународне организације за миграције</w:t>
      </w:r>
    </w:p>
  </w:footnote>
  <w:footnote w:id="31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i/>
          <w:sz w:val="18"/>
          <w:szCs w:val="18"/>
          <w:lang w:val="sr-Cyrl-RS"/>
        </w:rPr>
        <w:t>EU Agenda on Migration, statistical data, oct. 2106.</w:t>
      </w:r>
    </w:p>
  </w:footnote>
  <w:footnote w:id="32"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20" w:history="1">
        <w:r w:rsidRPr="00111876">
          <w:rPr>
            <w:rStyle w:val="Hyperlink"/>
            <w:sz w:val="18"/>
            <w:szCs w:val="18"/>
            <w:lang w:val="sr-Cyrl-RS"/>
          </w:rPr>
          <w:t>http://frontex.europa.eu/assets/Publications/Risk_Analysis/WB_Q2_2016.pdf</w:t>
        </w:r>
      </w:hyperlink>
    </w:p>
    <w:p w:rsidR="009C2A77" w:rsidRPr="00111876" w:rsidRDefault="009C2A77" w:rsidP="00111876">
      <w:pPr>
        <w:pStyle w:val="NoSpacing"/>
        <w:rPr>
          <w:sz w:val="18"/>
          <w:szCs w:val="18"/>
          <w:lang w:val="sr-Cyrl-RS"/>
        </w:rPr>
      </w:pPr>
    </w:p>
  </w:footnote>
  <w:footnote w:id="33">
    <w:p w:rsidR="009C2A77" w:rsidRPr="00111876" w:rsidRDefault="009C2A77" w:rsidP="009917A2">
      <w:pPr>
        <w:pStyle w:val="FootnoteText"/>
        <w:jc w:val="both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rFonts w:eastAsia="Times New Roman"/>
          <w:sz w:val="18"/>
          <w:szCs w:val="18"/>
          <w:lang w:val="sr-Cyrl-RS"/>
        </w:rPr>
        <w:t>Н</w:t>
      </w:r>
      <w:r w:rsidRPr="00111876">
        <w:rPr>
          <w:color w:val="222222"/>
          <w:sz w:val="18"/>
          <w:szCs w:val="18"/>
          <w:lang w:val="sr-Cyrl-RS"/>
        </w:rPr>
        <w:t xml:space="preserve">а нивоу 30 земаља ЕУ </w:t>
      </w:r>
      <w:r w:rsidRPr="00111876">
        <w:rPr>
          <w:rFonts w:eastAsia="Times New Roman"/>
          <w:sz w:val="18"/>
          <w:szCs w:val="18"/>
          <w:lang w:val="sr-Cyrl-RS"/>
        </w:rPr>
        <w:t>у августу 2016. године евидентирано је</w:t>
      </w:r>
      <w:r w:rsidRPr="00111876">
        <w:rPr>
          <w:color w:val="222222"/>
          <w:sz w:val="18"/>
          <w:szCs w:val="18"/>
          <w:lang w:val="sr-Cyrl-RS"/>
        </w:rPr>
        <w:t xml:space="preserve"> </w:t>
      </w:r>
      <w:r w:rsidRPr="00111876">
        <w:rPr>
          <w:rFonts w:eastAsia="Times New Roman"/>
          <w:sz w:val="18"/>
          <w:szCs w:val="18"/>
          <w:lang w:val="sr-Cyrl-RS"/>
        </w:rPr>
        <w:t xml:space="preserve">31.522 захтева за </w:t>
      </w:r>
      <w:r w:rsidRPr="00111876">
        <w:rPr>
          <w:color w:val="222222"/>
          <w:sz w:val="18"/>
          <w:szCs w:val="18"/>
          <w:lang w:val="sr-Cyrl-RS"/>
        </w:rPr>
        <w:t>међународну заштиту</w:t>
      </w:r>
      <w:r w:rsidRPr="00111876">
        <w:rPr>
          <w:rFonts w:eastAsia="Times New Roman"/>
          <w:sz w:val="18"/>
          <w:szCs w:val="18"/>
          <w:lang w:val="sr-Cyrl-RS"/>
        </w:rPr>
        <w:t xml:space="preserve"> које су поднели сиријски држављани (10% више у односу на претходни месец 2016.), а следе Авганистан и Ирак са 23.871 и 13.812 захтева за </w:t>
      </w:r>
      <w:r w:rsidRPr="00111876">
        <w:rPr>
          <w:color w:val="222222"/>
          <w:sz w:val="18"/>
          <w:szCs w:val="18"/>
          <w:lang w:val="sr-Cyrl-RS"/>
        </w:rPr>
        <w:t>међународну заштиту</w:t>
      </w:r>
      <w:r w:rsidRPr="00111876">
        <w:rPr>
          <w:rFonts w:eastAsia="Times New Roman"/>
          <w:sz w:val="18"/>
          <w:szCs w:val="18"/>
          <w:lang w:val="sr-Cyrl-RS"/>
        </w:rPr>
        <w:t>.</w:t>
      </w:r>
    </w:p>
  </w:footnote>
  <w:footnote w:id="34">
    <w:p w:rsidR="009C2A77" w:rsidRPr="00111876" w:rsidRDefault="009C2A77" w:rsidP="00A07311">
      <w:pPr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i/>
          <w:iCs/>
          <w:sz w:val="18"/>
          <w:szCs w:val="18"/>
          <w:lang w:val="sr-Cyrl-RS"/>
        </w:rPr>
        <w:t>“How the World Views Migration</w:t>
      </w:r>
      <w:r w:rsidRPr="00111876">
        <w:rPr>
          <w:iCs/>
          <w:sz w:val="18"/>
          <w:szCs w:val="18"/>
          <w:lang w:val="sr-Cyrl-RS"/>
        </w:rPr>
        <w:t xml:space="preserve">“- </w:t>
      </w:r>
      <w:r w:rsidRPr="00111876">
        <w:rPr>
          <w:color w:val="222222"/>
          <w:sz w:val="18"/>
          <w:szCs w:val="18"/>
          <w:lang w:val="sr-Latn-RS"/>
        </w:rPr>
        <w:t xml:space="preserve">Извештај је заснован на </w:t>
      </w:r>
      <w:r w:rsidRPr="00111876">
        <w:rPr>
          <w:i/>
          <w:iCs/>
          <w:sz w:val="18"/>
          <w:szCs w:val="18"/>
          <w:lang w:val="sr-Cyrl-RS"/>
        </w:rPr>
        <w:t xml:space="preserve">Gallup </w:t>
      </w:r>
      <w:r w:rsidRPr="00111876">
        <w:rPr>
          <w:color w:val="222222"/>
          <w:sz w:val="18"/>
          <w:szCs w:val="18"/>
          <w:lang w:val="sr-Latn-RS"/>
        </w:rPr>
        <w:t>анкет</w:t>
      </w:r>
      <w:r w:rsidRPr="00111876">
        <w:rPr>
          <w:color w:val="222222"/>
          <w:sz w:val="18"/>
          <w:szCs w:val="18"/>
          <w:lang w:val="sr-Cyrl-RS"/>
        </w:rPr>
        <w:t>и</w:t>
      </w:r>
      <w:r w:rsidRPr="00111876">
        <w:rPr>
          <w:color w:val="222222"/>
          <w:sz w:val="18"/>
          <w:szCs w:val="18"/>
          <w:lang w:val="sr-Latn-RS"/>
        </w:rPr>
        <w:t xml:space="preserve"> у више од 140 земаља између 2012. и 2014. </w:t>
      </w:r>
      <w:r w:rsidRPr="00111876">
        <w:rPr>
          <w:color w:val="222222"/>
          <w:sz w:val="18"/>
          <w:szCs w:val="18"/>
          <w:lang w:val="sr-Cyrl-RS"/>
        </w:rPr>
        <w:t>г</w:t>
      </w:r>
      <w:r w:rsidRPr="00111876">
        <w:rPr>
          <w:color w:val="222222"/>
          <w:sz w:val="18"/>
          <w:szCs w:val="18"/>
          <w:lang w:val="sr-Latn-RS"/>
        </w:rPr>
        <w:t>одине</w:t>
      </w:r>
      <w:r w:rsidRPr="00111876">
        <w:rPr>
          <w:color w:val="222222"/>
          <w:sz w:val="18"/>
          <w:szCs w:val="18"/>
          <w:lang w:val="sr-Cyrl-RS"/>
        </w:rPr>
        <w:t>.</w:t>
      </w:r>
      <w:r w:rsidRPr="00111876">
        <w:rPr>
          <w:iCs/>
          <w:sz w:val="18"/>
          <w:szCs w:val="18"/>
          <w:lang w:val="sr-Cyrl-RS"/>
        </w:rPr>
        <w:t xml:space="preserve"> За више информација видети</w:t>
      </w:r>
      <w:r w:rsidRPr="00111876">
        <w:rPr>
          <w:i/>
          <w:iCs/>
          <w:sz w:val="18"/>
          <w:szCs w:val="18"/>
          <w:lang w:val="sr-Cyrl-RS"/>
        </w:rPr>
        <w:t>: Global Migration Trends Factsheet 2015.</w:t>
      </w:r>
    </w:p>
    <w:p w:rsidR="009C2A77" w:rsidRPr="005154FF" w:rsidRDefault="009C2A77" w:rsidP="00A0731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1B69"/>
    <w:multiLevelType w:val="hybridMultilevel"/>
    <w:tmpl w:val="A4E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B12C2"/>
    <w:multiLevelType w:val="hybridMultilevel"/>
    <w:tmpl w:val="B0D8BDE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EE48D2"/>
    <w:multiLevelType w:val="hybridMultilevel"/>
    <w:tmpl w:val="D68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95"/>
    <w:rsid w:val="00004060"/>
    <w:rsid w:val="00020485"/>
    <w:rsid w:val="000416BB"/>
    <w:rsid w:val="000A38F6"/>
    <w:rsid w:val="000A524B"/>
    <w:rsid w:val="000D0ABA"/>
    <w:rsid w:val="000D4934"/>
    <w:rsid w:val="000E182E"/>
    <w:rsid w:val="00111876"/>
    <w:rsid w:val="00117EF1"/>
    <w:rsid w:val="00132ABB"/>
    <w:rsid w:val="00134AF2"/>
    <w:rsid w:val="00153162"/>
    <w:rsid w:val="00161C09"/>
    <w:rsid w:val="001850D8"/>
    <w:rsid w:val="001F4BD4"/>
    <w:rsid w:val="00200B4E"/>
    <w:rsid w:val="00211918"/>
    <w:rsid w:val="002228EE"/>
    <w:rsid w:val="00236791"/>
    <w:rsid w:val="00263B95"/>
    <w:rsid w:val="002859B9"/>
    <w:rsid w:val="002B5C89"/>
    <w:rsid w:val="002C3E2F"/>
    <w:rsid w:val="002D4ED0"/>
    <w:rsid w:val="002E19A0"/>
    <w:rsid w:val="002F223D"/>
    <w:rsid w:val="0031659F"/>
    <w:rsid w:val="00336EBC"/>
    <w:rsid w:val="003417D3"/>
    <w:rsid w:val="003743BD"/>
    <w:rsid w:val="0037758C"/>
    <w:rsid w:val="0038359A"/>
    <w:rsid w:val="003932C5"/>
    <w:rsid w:val="00395791"/>
    <w:rsid w:val="00395911"/>
    <w:rsid w:val="003B6436"/>
    <w:rsid w:val="003D4A1D"/>
    <w:rsid w:val="00406E61"/>
    <w:rsid w:val="00424E83"/>
    <w:rsid w:val="0046480A"/>
    <w:rsid w:val="004971B9"/>
    <w:rsid w:val="004B3043"/>
    <w:rsid w:val="004C6E35"/>
    <w:rsid w:val="004D5F6F"/>
    <w:rsid w:val="004F2A17"/>
    <w:rsid w:val="004F509E"/>
    <w:rsid w:val="004F59BC"/>
    <w:rsid w:val="005004BC"/>
    <w:rsid w:val="00511ADB"/>
    <w:rsid w:val="005154FF"/>
    <w:rsid w:val="00516D03"/>
    <w:rsid w:val="005236C5"/>
    <w:rsid w:val="00541FD4"/>
    <w:rsid w:val="00594C36"/>
    <w:rsid w:val="00595061"/>
    <w:rsid w:val="005A62A4"/>
    <w:rsid w:val="005A6854"/>
    <w:rsid w:val="005B4DE1"/>
    <w:rsid w:val="005C354C"/>
    <w:rsid w:val="005E30D0"/>
    <w:rsid w:val="005E3FD5"/>
    <w:rsid w:val="005F05F3"/>
    <w:rsid w:val="00600BAD"/>
    <w:rsid w:val="006035A7"/>
    <w:rsid w:val="00612763"/>
    <w:rsid w:val="00634948"/>
    <w:rsid w:val="00642FB6"/>
    <w:rsid w:val="00643CF2"/>
    <w:rsid w:val="006548C0"/>
    <w:rsid w:val="00663941"/>
    <w:rsid w:val="0067784C"/>
    <w:rsid w:val="006843E1"/>
    <w:rsid w:val="00692ED1"/>
    <w:rsid w:val="006A5347"/>
    <w:rsid w:val="006B0D00"/>
    <w:rsid w:val="006C1229"/>
    <w:rsid w:val="006C1464"/>
    <w:rsid w:val="006C774A"/>
    <w:rsid w:val="006F4F41"/>
    <w:rsid w:val="006F7017"/>
    <w:rsid w:val="00705363"/>
    <w:rsid w:val="00710B71"/>
    <w:rsid w:val="0073219A"/>
    <w:rsid w:val="00734ADB"/>
    <w:rsid w:val="0075013B"/>
    <w:rsid w:val="007526DC"/>
    <w:rsid w:val="00760779"/>
    <w:rsid w:val="00792632"/>
    <w:rsid w:val="007963F5"/>
    <w:rsid w:val="00796C5B"/>
    <w:rsid w:val="007B2692"/>
    <w:rsid w:val="007E0DD7"/>
    <w:rsid w:val="007E5CC9"/>
    <w:rsid w:val="007F7776"/>
    <w:rsid w:val="008022AD"/>
    <w:rsid w:val="00811102"/>
    <w:rsid w:val="00824B92"/>
    <w:rsid w:val="00831F27"/>
    <w:rsid w:val="00833294"/>
    <w:rsid w:val="00836DF9"/>
    <w:rsid w:val="0084462B"/>
    <w:rsid w:val="00870660"/>
    <w:rsid w:val="00873EFA"/>
    <w:rsid w:val="00887C72"/>
    <w:rsid w:val="00891CB6"/>
    <w:rsid w:val="008A441B"/>
    <w:rsid w:val="008D0195"/>
    <w:rsid w:val="008D1013"/>
    <w:rsid w:val="008E6857"/>
    <w:rsid w:val="008F49B1"/>
    <w:rsid w:val="00904F46"/>
    <w:rsid w:val="00906D9C"/>
    <w:rsid w:val="00972537"/>
    <w:rsid w:val="009725A7"/>
    <w:rsid w:val="00984AE0"/>
    <w:rsid w:val="009917A2"/>
    <w:rsid w:val="009A5405"/>
    <w:rsid w:val="009B69BC"/>
    <w:rsid w:val="009B6FD9"/>
    <w:rsid w:val="009C2A77"/>
    <w:rsid w:val="009E1828"/>
    <w:rsid w:val="009E6F90"/>
    <w:rsid w:val="00A07311"/>
    <w:rsid w:val="00A144BD"/>
    <w:rsid w:val="00A154E1"/>
    <w:rsid w:val="00A21CE8"/>
    <w:rsid w:val="00A355B0"/>
    <w:rsid w:val="00A4728A"/>
    <w:rsid w:val="00A7301C"/>
    <w:rsid w:val="00A75785"/>
    <w:rsid w:val="00A85215"/>
    <w:rsid w:val="00A934AA"/>
    <w:rsid w:val="00A972C4"/>
    <w:rsid w:val="00AA6A33"/>
    <w:rsid w:val="00AB0851"/>
    <w:rsid w:val="00AB35EC"/>
    <w:rsid w:val="00AC1B31"/>
    <w:rsid w:val="00AD74F5"/>
    <w:rsid w:val="00B05062"/>
    <w:rsid w:val="00B05A23"/>
    <w:rsid w:val="00B13918"/>
    <w:rsid w:val="00B4174A"/>
    <w:rsid w:val="00B86CFD"/>
    <w:rsid w:val="00B95856"/>
    <w:rsid w:val="00BA66CB"/>
    <w:rsid w:val="00BC0D0C"/>
    <w:rsid w:val="00BD5DF8"/>
    <w:rsid w:val="00BF5C9B"/>
    <w:rsid w:val="00C05005"/>
    <w:rsid w:val="00C21CAC"/>
    <w:rsid w:val="00C32F4C"/>
    <w:rsid w:val="00C36CDF"/>
    <w:rsid w:val="00C5061A"/>
    <w:rsid w:val="00C76ABF"/>
    <w:rsid w:val="00C8387B"/>
    <w:rsid w:val="00CD2245"/>
    <w:rsid w:val="00CF3689"/>
    <w:rsid w:val="00D06BB4"/>
    <w:rsid w:val="00D16403"/>
    <w:rsid w:val="00D365AB"/>
    <w:rsid w:val="00D53C2B"/>
    <w:rsid w:val="00D556B5"/>
    <w:rsid w:val="00D613F9"/>
    <w:rsid w:val="00D70410"/>
    <w:rsid w:val="00DC368D"/>
    <w:rsid w:val="00DC57D8"/>
    <w:rsid w:val="00DD7A17"/>
    <w:rsid w:val="00DF4729"/>
    <w:rsid w:val="00E02FDC"/>
    <w:rsid w:val="00E1295C"/>
    <w:rsid w:val="00E20288"/>
    <w:rsid w:val="00E24339"/>
    <w:rsid w:val="00E35409"/>
    <w:rsid w:val="00E43B4A"/>
    <w:rsid w:val="00E516B1"/>
    <w:rsid w:val="00E62B5C"/>
    <w:rsid w:val="00E7218B"/>
    <w:rsid w:val="00E73648"/>
    <w:rsid w:val="00E9795E"/>
    <w:rsid w:val="00EB449D"/>
    <w:rsid w:val="00EF67E7"/>
    <w:rsid w:val="00EF78A6"/>
    <w:rsid w:val="00F00090"/>
    <w:rsid w:val="00F13135"/>
    <w:rsid w:val="00F2266D"/>
    <w:rsid w:val="00F3361A"/>
    <w:rsid w:val="00F5501B"/>
    <w:rsid w:val="00F8321D"/>
    <w:rsid w:val="00F904D7"/>
    <w:rsid w:val="00F961BE"/>
    <w:rsid w:val="00FA14C1"/>
    <w:rsid w:val="00FC2E7B"/>
    <w:rsid w:val="00FD58FA"/>
    <w:rsid w:val="00FE6C64"/>
    <w:rsid w:val="00FF1828"/>
    <w:rsid w:val="00FF324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4B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B95"/>
    <w:rPr>
      <w:color w:val="0000FF" w:themeColor="hyperlink"/>
      <w:u w:val="single"/>
    </w:rPr>
  </w:style>
  <w:style w:type="paragraph" w:customStyle="1" w:styleId="Default">
    <w:name w:val="Default"/>
    <w:rsid w:val="0026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6CD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F6CD8"/>
  </w:style>
  <w:style w:type="character" w:styleId="FootnoteReference">
    <w:name w:val="footnote reference"/>
    <w:basedOn w:val="DefaultParagraphFont"/>
    <w:uiPriority w:val="99"/>
    <w:semiHidden/>
    <w:unhideWhenUsed/>
    <w:rsid w:val="00FF6C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2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85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5061"/>
    <w:rPr>
      <w:b/>
      <w:bCs/>
    </w:rPr>
  </w:style>
  <w:style w:type="paragraph" w:styleId="NormalWeb">
    <w:name w:val="Normal (Web)"/>
    <w:basedOn w:val="Normal"/>
    <w:uiPriority w:val="99"/>
    <w:unhideWhenUsed/>
    <w:rsid w:val="0059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1D"/>
  </w:style>
  <w:style w:type="paragraph" w:styleId="Footer">
    <w:name w:val="footer"/>
    <w:basedOn w:val="Normal"/>
    <w:link w:val="FooterChar"/>
    <w:uiPriority w:val="99"/>
    <w:unhideWhenUsed/>
    <w:rsid w:val="003D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1D"/>
  </w:style>
  <w:style w:type="paragraph" w:customStyle="1" w:styleId="align-center">
    <w:name w:val="align-center"/>
    <w:basedOn w:val="Normal"/>
    <w:rsid w:val="003D4A1D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1118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44BD"/>
    <w:rPr>
      <w:rFonts w:eastAsiaTheme="majorEastAsia" w:cstheme="majorBidi"/>
      <w:b/>
      <w:bCs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A66CB"/>
  </w:style>
  <w:style w:type="paragraph" w:styleId="TOC1">
    <w:name w:val="toc 1"/>
    <w:basedOn w:val="Normal"/>
    <w:next w:val="Normal"/>
    <w:autoRedefine/>
    <w:uiPriority w:val="39"/>
    <w:unhideWhenUsed/>
    <w:rsid w:val="00C32F4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4B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B95"/>
    <w:rPr>
      <w:color w:val="0000FF" w:themeColor="hyperlink"/>
      <w:u w:val="single"/>
    </w:rPr>
  </w:style>
  <w:style w:type="paragraph" w:customStyle="1" w:styleId="Default">
    <w:name w:val="Default"/>
    <w:rsid w:val="0026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6CD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F6CD8"/>
  </w:style>
  <w:style w:type="character" w:styleId="FootnoteReference">
    <w:name w:val="footnote reference"/>
    <w:basedOn w:val="DefaultParagraphFont"/>
    <w:uiPriority w:val="99"/>
    <w:semiHidden/>
    <w:unhideWhenUsed/>
    <w:rsid w:val="00FF6C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2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85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5061"/>
    <w:rPr>
      <w:b/>
      <w:bCs/>
    </w:rPr>
  </w:style>
  <w:style w:type="paragraph" w:styleId="NormalWeb">
    <w:name w:val="Normal (Web)"/>
    <w:basedOn w:val="Normal"/>
    <w:uiPriority w:val="99"/>
    <w:unhideWhenUsed/>
    <w:rsid w:val="0059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1D"/>
  </w:style>
  <w:style w:type="paragraph" w:styleId="Footer">
    <w:name w:val="footer"/>
    <w:basedOn w:val="Normal"/>
    <w:link w:val="FooterChar"/>
    <w:uiPriority w:val="99"/>
    <w:unhideWhenUsed/>
    <w:rsid w:val="003D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1D"/>
  </w:style>
  <w:style w:type="paragraph" w:customStyle="1" w:styleId="align-center">
    <w:name w:val="align-center"/>
    <w:basedOn w:val="Normal"/>
    <w:rsid w:val="003D4A1D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1118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44BD"/>
    <w:rPr>
      <w:rFonts w:eastAsiaTheme="majorEastAsia" w:cstheme="majorBidi"/>
      <w:b/>
      <w:bCs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A66CB"/>
  </w:style>
  <w:style w:type="paragraph" w:styleId="TOC1">
    <w:name w:val="toc 1"/>
    <w:basedOn w:val="Normal"/>
    <w:next w:val="Normal"/>
    <w:autoRedefine/>
    <w:uiPriority w:val="39"/>
    <w:unhideWhenUsed/>
    <w:rsid w:val="00C32F4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urostat/web/asylum-and-managed-migration/data/database" TargetMode="External"/><Relationship Id="rId18" Type="http://schemas.openxmlformats.org/officeDocument/2006/relationships/hyperlink" Target="https://www.parlament.ba/sadrzaj/about/istrazivanj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ijaspora.gov.rs/wp-content/uploads/2012/12/strategija_upravljanja_migracijam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ppsso.eurostat.ec.europa.eu/nui/show.do?dataset=migr_asyappctza&amp;lang=en" TargetMode="External"/><Relationship Id="rId17" Type="http://schemas.openxmlformats.org/officeDocument/2006/relationships/hyperlink" Target="http://ec.europa.eu" TargetMode="External"/><Relationship Id="rId25" Type="http://schemas.openxmlformats.org/officeDocument/2006/relationships/hyperlink" Target="http://www.unicef.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/european-union/about-eu/agencies/frontex_hr" TargetMode="External"/><Relationship Id="rId20" Type="http://schemas.openxmlformats.org/officeDocument/2006/relationships/hyperlink" Target="http://www.parlament.gov.rs/upload/archive/files/lat/pdf/zakoni/2012/3118-12La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N/TXT/?qid=1414508348017&amp;uri=CELEX:32010R0216" TargetMode="External"/><Relationship Id="rId24" Type="http://schemas.openxmlformats.org/officeDocument/2006/relationships/hyperlink" Target="http://www.unhcr.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iserbia.nb.rs/img/doi/0038-0318/2013/0038-03181302209B.pdf" TargetMode="External"/><Relationship Id="rId23" Type="http://schemas.openxmlformats.org/officeDocument/2006/relationships/hyperlink" Target="https://www.easo.europa.eu/information-analysis/analysis-and-statistics/latest-asylum-trend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ur-lex.europa.eu/legal-content/EN/TXT/?qid=1414508297956&amp;uri=CELEX:32007R0862" TargetMode="External"/><Relationship Id="rId19" Type="http://schemas.openxmlformats.org/officeDocument/2006/relationships/hyperlink" Target="https://serbia.iom.int/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hyperlink" Target="http://www.unhcr.rs/dokumenti/statisktike/azil.html" TargetMode="External"/><Relationship Id="rId22" Type="http://schemas.openxmlformats.org/officeDocument/2006/relationships/hyperlink" Target="http://ec.europa.eu/dgs/home-affairs/what-we-do/policies/european-agenda-migration/index_en.htm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statistics-explained/index.php/Asylum_statistics" TargetMode="External"/><Relationship Id="rId13" Type="http://schemas.openxmlformats.org/officeDocument/2006/relationships/hyperlink" Target="http://www.bgcentar.org.rs/bgcentar/wp-content/uploads/2016/09/SRB-FINAL.pdf" TargetMode="External"/><Relationship Id="rId18" Type="http://schemas.openxmlformats.org/officeDocument/2006/relationships/hyperlink" Target="http://ec.europa.eu/eurostat/statisticsexplained/mobile/index.php" TargetMode="External"/><Relationship Id="rId3" Type="http://schemas.openxmlformats.org/officeDocument/2006/relationships/hyperlink" Target="http://europa.eu/rapid/press-release_IP-16-482_en.htm?locale=en" TargetMode="External"/><Relationship Id="rId7" Type="http://schemas.openxmlformats.org/officeDocument/2006/relationships/hyperlink" Target="http://www.doiserbia.nb.rs/img/doi/0038-0318/2013/0038-03181302209B.pdf" TargetMode="External"/><Relationship Id="rId12" Type="http://schemas.openxmlformats.org/officeDocument/2006/relationships/hyperlink" Target="http://www.doiserbia.nb.rs/img/doi/0038-0318/2013/0038-03181302209B.pdf" TargetMode="External"/><Relationship Id="rId17" Type="http://schemas.openxmlformats.org/officeDocument/2006/relationships/hyperlink" Target="http://ec.europa.eu/dgs/home-affairs" TargetMode="External"/><Relationship Id="rId2" Type="http://schemas.openxmlformats.org/officeDocument/2006/relationships/hyperlink" Target="http://eur-lex.europa.eu/legal-content/EN/TXT/?qid=1414508297956&amp;uri=CELEX:32007R0862" TargetMode="External"/><Relationship Id="rId16" Type="http://schemas.openxmlformats.org/officeDocument/2006/relationships/hyperlink" Target="http://www.dz-rs.si/wps/portal/Home/deloDZ/raziskovalnaDejavnost/RaziskovalneNaloge" TargetMode="External"/><Relationship Id="rId20" Type="http://schemas.openxmlformats.org/officeDocument/2006/relationships/hyperlink" Target="http://frontex.europa.eu/assets/Publications/Risk_Analysis/WB_Q2_2016.pdf" TargetMode="External"/><Relationship Id="rId1" Type="http://schemas.openxmlformats.org/officeDocument/2006/relationships/hyperlink" Target="http://eur-lex.europa.eu/LexUriServ/LexUriServ.do?uri=CELEX:32007R0862:EN:NOT" TargetMode="External"/><Relationship Id="rId6" Type="http://schemas.openxmlformats.org/officeDocument/2006/relationships/hyperlink" Target="http://frontex.europa.eu/trends-and-routes/migratory-routes-map/" TargetMode="External"/><Relationship Id="rId11" Type="http://schemas.openxmlformats.org/officeDocument/2006/relationships/hyperlink" Target="http://www.parlament.gov.rs/upload/archive/files/lat/pdf/zakoni/2012/3118-12Lat.pdf" TargetMode="External"/><Relationship Id="rId5" Type="http://schemas.openxmlformats.org/officeDocument/2006/relationships/hyperlink" Target="http://gmdac.iom.int/global-migration-trends-factsheet" TargetMode="External"/><Relationship Id="rId15" Type="http://schemas.openxmlformats.org/officeDocument/2006/relationships/hyperlink" Target="https://www.parlament.ba/sadrzaj/ostali_akti/strategije/default.aspx?id=59374&amp;langTag=bs-BA&amp;pril=b" TargetMode="External"/><Relationship Id="rId10" Type="http://schemas.openxmlformats.org/officeDocument/2006/relationships/hyperlink" Target="http://www.kirs.gov.rs/docs/migracije/Pregled_pravnog_i_institucionalnog_okvira_Republike_Srbije_u_oblasti_upravljanja_migracijama.pdf" TargetMode="External"/><Relationship Id="rId19" Type="http://schemas.openxmlformats.org/officeDocument/2006/relationships/hyperlink" Target="http://frontex.europa.eu/research/role/" TargetMode="External"/><Relationship Id="rId4" Type="http://schemas.openxmlformats.org/officeDocument/2006/relationships/hyperlink" Target="https://refugeesmigrants.un.org/sites/default/files/a_71_l1.pdf" TargetMode="External"/><Relationship Id="rId9" Type="http://schemas.openxmlformats.org/officeDocument/2006/relationships/hyperlink" Target="http://azil.rs/doc/Periodicni_final_SRP.pdf" TargetMode="External"/><Relationship Id="rId14" Type="http://schemas.openxmlformats.org/officeDocument/2006/relationships/hyperlink" Target="http://azil-podrska.com/2016/10/10/izbeglicka-situacija-u-srbiji-u-septembru-2016-god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5195-5BC2-4E58-9F07-BBEDF1EE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16</cp:revision>
  <dcterms:created xsi:type="dcterms:W3CDTF">2016-11-21T12:35:00Z</dcterms:created>
  <dcterms:modified xsi:type="dcterms:W3CDTF">2016-12-06T13:20:00Z</dcterms:modified>
</cp:coreProperties>
</file>